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CCF38" w14:textId="77777777" w:rsidR="00A344A6" w:rsidRDefault="004810D3" w:rsidP="004810D3">
      <w:pPr>
        <w:jc w:val="center"/>
        <w:rPr>
          <w:rFonts w:ascii="Arial" w:hAnsi="Arial" w:cs="Arial"/>
          <w:b/>
          <w:sz w:val="32"/>
          <w:szCs w:val="32"/>
          <w:lang w:val="es-MX"/>
        </w:rPr>
      </w:pPr>
      <w:r w:rsidRPr="004810D3">
        <w:rPr>
          <w:rFonts w:ascii="Arial" w:hAnsi="Arial" w:cs="Arial"/>
          <w:b/>
          <w:sz w:val="32"/>
          <w:szCs w:val="32"/>
          <w:lang w:val="es-MX"/>
        </w:rPr>
        <w:t>EVIDENCIA CIENTIFICA Y GLIFOSATO</w:t>
      </w:r>
    </w:p>
    <w:p w14:paraId="25A683C4" w14:textId="77777777" w:rsidR="004810D3" w:rsidRPr="004810D3" w:rsidRDefault="004810D3" w:rsidP="004810D3">
      <w:pPr>
        <w:jc w:val="center"/>
        <w:rPr>
          <w:rFonts w:ascii="Arial" w:hAnsi="Arial" w:cs="Arial"/>
          <w:b/>
          <w:sz w:val="24"/>
          <w:szCs w:val="24"/>
          <w:lang w:val="es-MX"/>
        </w:rPr>
      </w:pPr>
    </w:p>
    <w:p w14:paraId="0019C9AD" w14:textId="77777777" w:rsidR="004810D3" w:rsidRDefault="004810D3" w:rsidP="004810D3">
      <w:pPr>
        <w:jc w:val="center"/>
        <w:rPr>
          <w:rFonts w:ascii="Arial" w:hAnsi="Arial" w:cs="Arial"/>
          <w:b/>
          <w:sz w:val="24"/>
          <w:szCs w:val="24"/>
          <w:lang w:val="es-MX"/>
        </w:rPr>
      </w:pPr>
      <w:r w:rsidRPr="004810D3">
        <w:rPr>
          <w:rFonts w:ascii="Arial" w:hAnsi="Arial" w:cs="Arial"/>
          <w:b/>
          <w:sz w:val="24"/>
          <w:szCs w:val="24"/>
          <w:lang w:val="es-MX"/>
        </w:rPr>
        <w:t>EL PROBLEMA DE LA DEMARCACION</w:t>
      </w:r>
    </w:p>
    <w:p w14:paraId="785AB2A8" w14:textId="77777777" w:rsidR="004810D3" w:rsidRDefault="004810D3" w:rsidP="004810D3">
      <w:pPr>
        <w:jc w:val="both"/>
        <w:rPr>
          <w:rFonts w:ascii="Arial" w:hAnsi="Arial" w:cs="Arial"/>
          <w:sz w:val="24"/>
          <w:szCs w:val="24"/>
          <w:lang w:val="es-MX"/>
        </w:rPr>
      </w:pPr>
    </w:p>
    <w:p w14:paraId="4A84DBCE" w14:textId="77777777" w:rsidR="004810D3" w:rsidRDefault="004810D3" w:rsidP="00294D80">
      <w:pPr>
        <w:spacing w:line="276" w:lineRule="auto"/>
        <w:jc w:val="both"/>
        <w:rPr>
          <w:rFonts w:ascii="Arial" w:hAnsi="Arial" w:cs="Arial"/>
          <w:sz w:val="24"/>
          <w:szCs w:val="24"/>
          <w:lang w:val="es-MX"/>
        </w:rPr>
      </w:pPr>
      <w:r>
        <w:rPr>
          <w:rFonts w:ascii="Arial" w:hAnsi="Arial" w:cs="Arial"/>
          <w:sz w:val="24"/>
          <w:szCs w:val="24"/>
          <w:lang w:val="es-MX"/>
        </w:rPr>
        <w:t>Con base en el principio de precaución, la Corte Constitucional ha señalado que la aspersión con glifosato, solo puede ser utilizada cuando exista “evidencia científica” de que no existen riesgos relevantes para la salud pública.  La necesidad de esta prueba plantea un problema; ¿Cuáles son los presupuestos que debe reunir la evidencia para ser considerada científica?  Un primer acercamiento al problema debe hacerse con base en el criterio de la “demarcación”; ¿Qué se requiere para señalar los límites entre la “ciencia basura” y la “verdadera ciencia”?  Un tema que fue abordado con mucho detenimiento a principios del siglo XX (1920) por el “Círculo de Viena”.  Un grupo de científicos y filósofos que realizaron una demoledora crítica al pensamiento metafísico característicos de occidente, con una tradición de más de dos milenios.  El “positivismo lógico” continua la tradición empirista inglesa que considera la experiencia como fuente principal de todo conocimiento (también lo hizo Kant desde su idealismo alemán)</w:t>
      </w:r>
      <w:r w:rsidR="00911FE5">
        <w:rPr>
          <w:rFonts w:ascii="Arial" w:hAnsi="Arial" w:cs="Arial"/>
          <w:sz w:val="24"/>
          <w:szCs w:val="24"/>
          <w:lang w:val="es-MX"/>
        </w:rPr>
        <w:t xml:space="preserve">.  Una proposición es considerada verdadera o falsa, si puede ser corroborada empíricamente.  Así las cosas, un enunciado que no se corresponde con la realidad, no tiene sentido.  El neopositivismo se encargó de buscar una gran precisión en el lenguaje aplicando la lógica para encontrar una semántica del significado que se acercara a la realidad del mundo. </w:t>
      </w:r>
    </w:p>
    <w:p w14:paraId="65F1505D" w14:textId="77777777" w:rsidR="00327667" w:rsidRDefault="00327667" w:rsidP="00294D80">
      <w:pPr>
        <w:spacing w:line="276" w:lineRule="auto"/>
        <w:jc w:val="both"/>
        <w:rPr>
          <w:rFonts w:ascii="Arial" w:hAnsi="Arial" w:cs="Arial"/>
          <w:sz w:val="24"/>
          <w:szCs w:val="24"/>
          <w:lang w:val="es-MX"/>
        </w:rPr>
      </w:pPr>
    </w:p>
    <w:p w14:paraId="75A4FA84" w14:textId="77777777" w:rsidR="00327667" w:rsidRDefault="00327667" w:rsidP="00294D80">
      <w:pPr>
        <w:spacing w:line="276" w:lineRule="auto"/>
        <w:jc w:val="both"/>
        <w:rPr>
          <w:rFonts w:ascii="Arial" w:hAnsi="Arial" w:cs="Arial"/>
          <w:sz w:val="24"/>
          <w:szCs w:val="24"/>
          <w:lang w:val="es-MX"/>
        </w:rPr>
      </w:pPr>
      <w:r>
        <w:rPr>
          <w:rFonts w:ascii="Arial" w:hAnsi="Arial" w:cs="Arial"/>
          <w:sz w:val="24"/>
          <w:szCs w:val="24"/>
          <w:lang w:val="es-MX"/>
        </w:rPr>
        <w:t xml:space="preserve">En 1993, la Corte Suprema de los Estados Unidos se ocupó del problema de la “demarcación” en el famoso “Caso </w:t>
      </w:r>
      <w:proofErr w:type="spellStart"/>
      <w:r>
        <w:rPr>
          <w:rFonts w:ascii="Arial" w:hAnsi="Arial" w:cs="Arial"/>
          <w:sz w:val="24"/>
          <w:szCs w:val="24"/>
          <w:lang w:val="es-MX"/>
        </w:rPr>
        <w:t>Daubert</w:t>
      </w:r>
      <w:proofErr w:type="spellEnd"/>
      <w:r>
        <w:rPr>
          <w:rFonts w:ascii="Arial" w:hAnsi="Arial" w:cs="Arial"/>
          <w:sz w:val="24"/>
          <w:szCs w:val="24"/>
          <w:lang w:val="es-MX"/>
        </w:rPr>
        <w:t>”.  Se trató de una situación en la cual nacieron en Estados Unidos muchos niños con deformaciones.  Los nacimientos tenían un elemento en común; las madres habían ingerido un medicamento llamado “</w:t>
      </w:r>
      <w:proofErr w:type="spellStart"/>
      <w:r>
        <w:rPr>
          <w:rFonts w:ascii="Arial" w:hAnsi="Arial" w:cs="Arial"/>
          <w:sz w:val="24"/>
          <w:szCs w:val="24"/>
          <w:lang w:val="es-MX"/>
        </w:rPr>
        <w:t>bendectin</w:t>
      </w:r>
      <w:proofErr w:type="spellEnd"/>
      <w:r>
        <w:rPr>
          <w:rFonts w:ascii="Arial" w:hAnsi="Arial" w:cs="Arial"/>
          <w:sz w:val="24"/>
          <w:szCs w:val="24"/>
          <w:lang w:val="es-MX"/>
        </w:rPr>
        <w:t xml:space="preserve">”, utilizado para aliviar ciertos malestares durante el embarazo.  La familia </w:t>
      </w:r>
      <w:proofErr w:type="spellStart"/>
      <w:r>
        <w:rPr>
          <w:rFonts w:ascii="Arial" w:hAnsi="Arial" w:cs="Arial"/>
          <w:sz w:val="24"/>
          <w:szCs w:val="24"/>
          <w:lang w:val="es-MX"/>
        </w:rPr>
        <w:t>Daubert</w:t>
      </w:r>
      <w:proofErr w:type="spellEnd"/>
      <w:r>
        <w:rPr>
          <w:rFonts w:ascii="Arial" w:hAnsi="Arial" w:cs="Arial"/>
          <w:sz w:val="24"/>
          <w:szCs w:val="24"/>
          <w:lang w:val="es-MX"/>
        </w:rPr>
        <w:t xml:space="preserve"> demando civilmente a la farmacéutica “</w:t>
      </w:r>
      <w:proofErr w:type="spellStart"/>
      <w:r>
        <w:rPr>
          <w:rFonts w:ascii="Arial" w:hAnsi="Arial" w:cs="Arial"/>
          <w:sz w:val="24"/>
          <w:szCs w:val="24"/>
          <w:lang w:val="es-MX"/>
        </w:rPr>
        <w:t>Merrel</w:t>
      </w:r>
      <w:proofErr w:type="spellEnd"/>
      <w:r>
        <w:rPr>
          <w:rFonts w:ascii="Arial" w:hAnsi="Arial" w:cs="Arial"/>
          <w:sz w:val="24"/>
          <w:szCs w:val="24"/>
          <w:lang w:val="es-MX"/>
        </w:rPr>
        <w:t xml:space="preserve"> Dow” por los daños a la integridad de su hijo (deformaciones congénitas).  Para probar la “relación causal” entre la utilización del fármaco y los daños, aportaron experimentos en animales, donde se había comprobado que las hembras habían dado crías con deformaciones después de consumir medicamentos con la misma base del </w:t>
      </w:r>
      <w:proofErr w:type="spellStart"/>
      <w:r>
        <w:rPr>
          <w:rFonts w:ascii="Arial" w:hAnsi="Arial" w:cs="Arial"/>
          <w:sz w:val="24"/>
          <w:szCs w:val="24"/>
          <w:lang w:val="es-MX"/>
        </w:rPr>
        <w:t>bendectin</w:t>
      </w:r>
      <w:proofErr w:type="spellEnd"/>
      <w:r>
        <w:rPr>
          <w:rFonts w:ascii="Arial" w:hAnsi="Arial" w:cs="Arial"/>
          <w:sz w:val="24"/>
          <w:szCs w:val="24"/>
          <w:lang w:val="es-MX"/>
        </w:rPr>
        <w:t>; también adjuntaron estudios epidemiológicos</w:t>
      </w:r>
      <w:r w:rsidR="00C872B4">
        <w:rPr>
          <w:rFonts w:ascii="Arial" w:hAnsi="Arial" w:cs="Arial"/>
          <w:sz w:val="24"/>
          <w:szCs w:val="24"/>
          <w:lang w:val="es-MX"/>
        </w:rPr>
        <w:t xml:space="preserve"> que mostraban las coincidencias entre el consumo del medicamento en madres y el nacimiento de niños con malformaciones.  La suprema se pronunció entonces, sobre los criterios que debe tener una evidencia para ser considerada científica.  Dio cuatro criterios: (1) La técnica debe tener una verificación empírica. (2) Debe haber sido publicado en una revista científica. (3) </w:t>
      </w:r>
      <w:r w:rsidR="00C872B4">
        <w:rPr>
          <w:rFonts w:ascii="Arial" w:hAnsi="Arial" w:cs="Arial"/>
          <w:sz w:val="24"/>
          <w:szCs w:val="24"/>
          <w:lang w:val="es-MX"/>
        </w:rPr>
        <w:lastRenderedPageBreak/>
        <w:t>Debe mostrar el margen de error, y (4) Debe tener aceptación por los pares académicos.</w:t>
      </w:r>
    </w:p>
    <w:p w14:paraId="552B8806" w14:textId="77777777" w:rsidR="00826C34" w:rsidRPr="00826C34" w:rsidRDefault="00C872B4" w:rsidP="00294D80">
      <w:pPr>
        <w:autoSpaceDE w:val="0"/>
        <w:autoSpaceDN w:val="0"/>
        <w:spacing w:after="0" w:line="276" w:lineRule="auto"/>
        <w:ind w:left="40" w:right="140"/>
        <w:jc w:val="both"/>
        <w:rPr>
          <w:rFonts w:ascii="Arial" w:hAnsi="Arial" w:cs="Arial"/>
          <w:sz w:val="24"/>
          <w:szCs w:val="24"/>
          <w:lang w:val="es-MX"/>
        </w:rPr>
      </w:pPr>
      <w:r>
        <w:rPr>
          <w:rFonts w:ascii="Arial" w:hAnsi="Arial" w:cs="Arial"/>
          <w:sz w:val="24"/>
          <w:szCs w:val="24"/>
          <w:lang w:val="es-MX"/>
        </w:rPr>
        <w:t xml:space="preserve">El caso </w:t>
      </w:r>
      <w:proofErr w:type="spellStart"/>
      <w:r>
        <w:rPr>
          <w:rFonts w:ascii="Arial" w:hAnsi="Arial" w:cs="Arial"/>
          <w:sz w:val="24"/>
          <w:szCs w:val="24"/>
          <w:lang w:val="es-MX"/>
        </w:rPr>
        <w:t>Daubert</w:t>
      </w:r>
      <w:proofErr w:type="spellEnd"/>
      <w:r>
        <w:rPr>
          <w:rFonts w:ascii="Arial" w:hAnsi="Arial" w:cs="Arial"/>
          <w:sz w:val="24"/>
          <w:szCs w:val="24"/>
          <w:lang w:val="es-MX"/>
        </w:rPr>
        <w:t xml:space="preserve"> implicó un cambio radical, con relación a las tesis que había sostenido la Corte Suprema de los Estados Unidos en el caso </w:t>
      </w:r>
      <w:proofErr w:type="spellStart"/>
      <w:r>
        <w:rPr>
          <w:rFonts w:ascii="Arial" w:hAnsi="Arial" w:cs="Arial"/>
          <w:sz w:val="24"/>
          <w:szCs w:val="24"/>
          <w:lang w:val="es-MX"/>
        </w:rPr>
        <w:t>Frye</w:t>
      </w:r>
      <w:proofErr w:type="spellEnd"/>
      <w:r>
        <w:rPr>
          <w:rFonts w:ascii="Arial" w:hAnsi="Arial" w:cs="Arial"/>
          <w:sz w:val="24"/>
          <w:szCs w:val="24"/>
          <w:lang w:val="es-MX"/>
        </w:rPr>
        <w:t>.  Caso en el cual se había discutido incipientemente el tema de la demarcación al examinar si la utilización de un “detector de mentiras” era una herramienta</w:t>
      </w:r>
      <w:r w:rsidR="00826C34">
        <w:rPr>
          <w:rFonts w:ascii="Arial" w:hAnsi="Arial" w:cs="Arial"/>
          <w:sz w:val="24"/>
          <w:szCs w:val="24"/>
          <w:lang w:val="es-MX"/>
        </w:rPr>
        <w:t xml:space="preserve"> </w:t>
      </w:r>
      <w:r w:rsidR="00826C34" w:rsidRPr="00826C34">
        <w:rPr>
          <w:rFonts w:ascii="Arial" w:hAnsi="Arial" w:cs="Arial" w:hint="eastAsia"/>
          <w:sz w:val="24"/>
          <w:szCs w:val="24"/>
          <w:lang w:val="es-MX"/>
        </w:rPr>
        <w:t>considerada científica</w:t>
      </w:r>
      <w:r w:rsidR="00826C34">
        <w:rPr>
          <w:rFonts w:ascii="Arial" w:hAnsi="Arial" w:cs="Arial"/>
          <w:sz w:val="24"/>
          <w:szCs w:val="24"/>
          <w:lang w:val="es-MX"/>
        </w:rPr>
        <w:t xml:space="preserve"> </w:t>
      </w:r>
      <w:r w:rsidR="00826C34">
        <w:rPr>
          <w:rFonts w:ascii="Arial" w:hAnsi="Arial" w:cs="Arial" w:hint="eastAsia"/>
          <w:sz w:val="24"/>
          <w:szCs w:val="24"/>
          <w:lang w:val="es-MX"/>
        </w:rPr>
        <w:t xml:space="preserve">y </w:t>
      </w:r>
      <w:r w:rsidR="00826C34" w:rsidRPr="00826C34">
        <w:rPr>
          <w:rFonts w:ascii="Arial" w:hAnsi="Arial" w:cs="Arial" w:hint="eastAsia"/>
          <w:sz w:val="24"/>
          <w:szCs w:val="24"/>
          <w:lang w:val="es-MX"/>
        </w:rPr>
        <w:t xml:space="preserve">con capacidad de ser prueba en un proceso penal por homicidio de un médico. </w:t>
      </w:r>
      <w:r w:rsidR="00826C34">
        <w:rPr>
          <w:rFonts w:ascii="Arial" w:hAnsi="Arial" w:cs="Arial"/>
          <w:sz w:val="24"/>
          <w:szCs w:val="24"/>
          <w:lang w:val="es-MX"/>
        </w:rPr>
        <w:t xml:space="preserve"> </w:t>
      </w:r>
      <w:r w:rsidR="00826C34" w:rsidRPr="00826C34">
        <w:rPr>
          <w:rFonts w:ascii="Arial" w:hAnsi="Arial" w:cs="Arial" w:hint="eastAsia"/>
          <w:sz w:val="24"/>
          <w:szCs w:val="24"/>
          <w:lang w:val="es-MX"/>
        </w:rPr>
        <w:t xml:space="preserve">No se aceptó, por no tener aceptación en la comunidad de expertos y </w:t>
      </w:r>
      <w:r w:rsidR="00826C34" w:rsidRPr="00826C34">
        <w:rPr>
          <w:rFonts w:ascii="Arial" w:hAnsi="Arial" w:cs="Arial"/>
          <w:sz w:val="24"/>
          <w:szCs w:val="24"/>
          <w:lang w:val="es-MX"/>
        </w:rPr>
        <w:t>ser</w:t>
      </w:r>
      <w:r w:rsidR="00826C34" w:rsidRPr="00826C34">
        <w:rPr>
          <w:rFonts w:ascii="Arial" w:hAnsi="Arial" w:cs="Arial" w:hint="eastAsia"/>
          <w:sz w:val="24"/>
          <w:szCs w:val="24"/>
          <w:lang w:val="es-MX"/>
        </w:rPr>
        <w:t xml:space="preserve"> </w:t>
      </w:r>
      <w:r w:rsidR="00826C34" w:rsidRPr="00826C34">
        <w:rPr>
          <w:rFonts w:ascii="Arial" w:hAnsi="Arial" w:cs="Arial" w:hint="eastAsia"/>
          <w:sz w:val="24"/>
          <w:szCs w:val="24"/>
          <w:lang w:val="es-MX"/>
        </w:rPr>
        <w:t>“</w:t>
      </w:r>
      <w:r w:rsidR="00826C34" w:rsidRPr="00826C34">
        <w:rPr>
          <w:rFonts w:ascii="Arial" w:hAnsi="Arial" w:cs="Arial" w:hint="eastAsia"/>
          <w:sz w:val="24"/>
          <w:szCs w:val="24"/>
          <w:lang w:val="es-MX"/>
        </w:rPr>
        <w:t>ciencia basura".</w:t>
      </w:r>
    </w:p>
    <w:p w14:paraId="020E2194" w14:textId="77777777" w:rsidR="00C872B4" w:rsidRDefault="00C872B4" w:rsidP="00294D80">
      <w:pPr>
        <w:spacing w:line="276" w:lineRule="auto"/>
        <w:jc w:val="both"/>
        <w:rPr>
          <w:rFonts w:ascii="Arial" w:hAnsi="Arial" w:cs="Arial"/>
          <w:sz w:val="24"/>
          <w:szCs w:val="24"/>
          <w:lang w:val="es-MX"/>
        </w:rPr>
      </w:pPr>
      <w:r>
        <w:rPr>
          <w:rFonts w:ascii="Arial" w:hAnsi="Arial" w:cs="Arial"/>
          <w:sz w:val="24"/>
          <w:szCs w:val="24"/>
          <w:lang w:val="es-MX"/>
        </w:rPr>
        <w:t xml:space="preserve"> </w:t>
      </w:r>
    </w:p>
    <w:p w14:paraId="732AE49C" w14:textId="77777777" w:rsidR="00826C34" w:rsidRPr="00826C34" w:rsidRDefault="00826C34" w:rsidP="00294D80">
      <w:pPr>
        <w:spacing w:line="276" w:lineRule="auto"/>
        <w:jc w:val="both"/>
        <w:rPr>
          <w:rFonts w:ascii="Arial" w:hAnsi="Arial" w:cs="Arial"/>
          <w:sz w:val="24"/>
          <w:szCs w:val="24"/>
          <w:lang w:val="es-MX"/>
        </w:rPr>
      </w:pPr>
    </w:p>
    <w:p w14:paraId="4F911734" w14:textId="77777777" w:rsidR="00826C34" w:rsidRPr="00826C34" w:rsidRDefault="00826C34" w:rsidP="00294D80">
      <w:pPr>
        <w:autoSpaceDE w:val="0"/>
        <w:autoSpaceDN w:val="0"/>
        <w:spacing w:after="0" w:line="276" w:lineRule="auto"/>
        <w:ind w:firstLine="340"/>
        <w:jc w:val="both"/>
        <w:rPr>
          <w:rFonts w:ascii="Arial" w:hAnsi="Arial" w:cs="Arial"/>
          <w:sz w:val="24"/>
          <w:szCs w:val="24"/>
          <w:lang w:val="es-CO"/>
        </w:rPr>
      </w:pPr>
      <w:r w:rsidRPr="00826C34">
        <w:rPr>
          <w:rFonts w:ascii="Arial" w:eastAsia="Calibri" w:hAnsi="Arial" w:cs="Arial"/>
          <w:color w:val="000000"/>
          <w:sz w:val="24"/>
          <w:szCs w:val="24"/>
          <w:lang w:val="es-CO"/>
        </w:rPr>
        <w:t>1. VERIFICACION EMPIRICA DE LOS ENUNCIADOS.</w:t>
      </w:r>
    </w:p>
    <w:p w14:paraId="0C341144" w14:textId="77777777" w:rsidR="00826C34" w:rsidRPr="00826C34" w:rsidRDefault="00826C34" w:rsidP="00294D80">
      <w:pPr>
        <w:autoSpaceDE w:val="0"/>
        <w:autoSpaceDN w:val="0"/>
        <w:spacing w:after="0" w:line="276" w:lineRule="auto"/>
        <w:jc w:val="both"/>
        <w:rPr>
          <w:rFonts w:ascii="Arial" w:eastAsia="SimSun" w:hAnsi="Arial" w:cs="Arial"/>
          <w:color w:val="000000"/>
          <w:sz w:val="24"/>
          <w:szCs w:val="24"/>
          <w:lang w:val="es-CO"/>
        </w:rPr>
      </w:pPr>
    </w:p>
    <w:p w14:paraId="44871C58" w14:textId="77777777" w:rsidR="00826C34" w:rsidRPr="00826C34" w:rsidRDefault="00826C34" w:rsidP="00294D80">
      <w:pPr>
        <w:autoSpaceDE w:val="0"/>
        <w:autoSpaceDN w:val="0"/>
        <w:spacing w:after="0" w:line="276" w:lineRule="auto"/>
        <w:jc w:val="both"/>
        <w:rPr>
          <w:rFonts w:ascii="Arial" w:eastAsia="SimSun" w:hAnsi="Arial" w:cs="Arial"/>
          <w:color w:val="000000"/>
          <w:sz w:val="24"/>
          <w:szCs w:val="24"/>
          <w:lang w:val="es-CO"/>
        </w:rPr>
      </w:pPr>
    </w:p>
    <w:p w14:paraId="0E57301E" w14:textId="77777777" w:rsidR="00826C34" w:rsidRPr="00826C34" w:rsidRDefault="00826C34" w:rsidP="00294D80">
      <w:pPr>
        <w:autoSpaceDE w:val="0"/>
        <w:autoSpaceDN w:val="0"/>
        <w:spacing w:after="0" w:line="276" w:lineRule="auto"/>
        <w:ind w:left="40" w:right="140"/>
        <w:jc w:val="both"/>
        <w:rPr>
          <w:rFonts w:ascii="Arial" w:hAnsi="Arial" w:cs="Arial"/>
          <w:sz w:val="24"/>
          <w:szCs w:val="24"/>
          <w:lang w:val="es-CO"/>
        </w:rPr>
      </w:pPr>
      <w:r w:rsidRPr="00826C34">
        <w:rPr>
          <w:rFonts w:ascii="Arial" w:eastAsia="Calibri" w:hAnsi="Arial" w:cs="Arial"/>
          <w:color w:val="000000"/>
          <w:sz w:val="24"/>
          <w:szCs w:val="24"/>
          <w:lang w:val="es-CO"/>
        </w:rPr>
        <w:t>Al elaborar este presupuesto, la Corte Suprema de los Estados Unidos siguió muy de cerca el debate que se presentó en la década de 1930, en torno a la demarcación.</w:t>
      </w:r>
      <w:r>
        <w:rPr>
          <w:rFonts w:ascii="Arial" w:eastAsia="Calibri" w:hAnsi="Arial" w:cs="Arial"/>
          <w:color w:val="000000"/>
          <w:sz w:val="24"/>
          <w:szCs w:val="24"/>
          <w:lang w:val="es-CO"/>
        </w:rPr>
        <w:t xml:space="preserve"> </w:t>
      </w:r>
      <w:r w:rsidRPr="00826C34">
        <w:rPr>
          <w:rFonts w:ascii="Arial" w:eastAsia="Calibri" w:hAnsi="Arial" w:cs="Arial"/>
          <w:color w:val="000000"/>
          <w:sz w:val="24"/>
          <w:szCs w:val="24"/>
          <w:lang w:val="es-CO"/>
        </w:rPr>
        <w:t>Específicamente, a los criterios que dio la “fi</w:t>
      </w:r>
      <w:r>
        <w:rPr>
          <w:rFonts w:ascii="Arial" w:eastAsia="Calibri" w:hAnsi="Arial" w:cs="Arial"/>
          <w:color w:val="000000"/>
          <w:sz w:val="24"/>
          <w:szCs w:val="24"/>
          <w:lang w:val="es-CO"/>
        </w:rPr>
        <w:t xml:space="preserve">losofía clásica” de la ciencia </w:t>
      </w:r>
      <w:r w:rsidRPr="00826C34">
        <w:rPr>
          <w:rFonts w:ascii="Arial" w:eastAsia="Calibri" w:hAnsi="Arial" w:cs="Arial"/>
          <w:color w:val="000000"/>
          <w:sz w:val="24"/>
          <w:szCs w:val="24"/>
          <w:lang w:val="es-CO"/>
        </w:rPr>
        <w:t>para determinar los presupuestos que se requieren para que una actividad (o una técnica)</w:t>
      </w:r>
      <w:r>
        <w:rPr>
          <w:rFonts w:ascii="Arial" w:eastAsia="Calibri" w:hAnsi="Arial" w:cs="Arial"/>
          <w:color w:val="000000"/>
          <w:sz w:val="24"/>
          <w:szCs w:val="24"/>
          <w:lang w:val="es-CO"/>
        </w:rPr>
        <w:t xml:space="preserve"> </w:t>
      </w:r>
      <w:r w:rsidRPr="00826C34">
        <w:rPr>
          <w:rFonts w:ascii="Arial" w:eastAsia="Calibri" w:hAnsi="Arial" w:cs="Arial"/>
          <w:color w:val="000000"/>
          <w:sz w:val="24"/>
          <w:szCs w:val="24"/>
          <w:lang w:val="es-CO"/>
        </w:rPr>
        <w:t>pueda ser considerada como científica. Debate del cual fueron protagonistas dos</w:t>
      </w:r>
      <w:r>
        <w:rPr>
          <w:rFonts w:ascii="Arial" w:eastAsia="Calibri" w:hAnsi="Arial" w:cs="Arial"/>
          <w:color w:val="000000"/>
          <w:sz w:val="24"/>
          <w:szCs w:val="24"/>
          <w:lang w:val="es-CO"/>
        </w:rPr>
        <w:t xml:space="preserve"> perspectivas diferentes </w:t>
      </w:r>
      <w:r w:rsidRPr="00826C34">
        <w:rPr>
          <w:rFonts w:ascii="Arial" w:eastAsia="Calibri" w:hAnsi="Arial" w:cs="Arial"/>
          <w:color w:val="000000"/>
          <w:sz w:val="24"/>
          <w:szCs w:val="24"/>
          <w:lang w:val="es-CO"/>
        </w:rPr>
        <w:t>al señalar los límites entre la ciencia y no ciencia: la tradicional que utilizaba la inducción como forma de inferencia lógica que “confirma”</w:t>
      </w:r>
      <w:r>
        <w:rPr>
          <w:rFonts w:ascii="Arial" w:eastAsia="Calibri" w:hAnsi="Arial" w:cs="Arial"/>
          <w:color w:val="000000"/>
          <w:sz w:val="24"/>
          <w:szCs w:val="24"/>
          <w:lang w:val="es-CO"/>
        </w:rPr>
        <w:t xml:space="preserve"> </w:t>
      </w:r>
      <w:r w:rsidRPr="00826C34">
        <w:rPr>
          <w:rFonts w:ascii="Arial" w:eastAsia="Calibri" w:hAnsi="Arial" w:cs="Arial"/>
          <w:color w:val="000000"/>
          <w:sz w:val="24"/>
          <w:szCs w:val="24"/>
          <w:lang w:val="es-CO"/>
        </w:rPr>
        <w:t>la veracidad de una hipótesis; y, la crítica, que no acepta la inducción y se basa en la “corroboración” de un enunciado. La proposición se acepta provisionalmente como "verdadero"</w:t>
      </w:r>
      <w:r>
        <w:rPr>
          <w:rFonts w:ascii="Arial" w:eastAsia="Calibri" w:hAnsi="Arial" w:cs="Arial"/>
          <w:color w:val="000000"/>
          <w:sz w:val="24"/>
          <w:szCs w:val="24"/>
          <w:lang w:val="es-CO"/>
        </w:rPr>
        <w:t xml:space="preserve"> </w:t>
      </w:r>
      <w:r w:rsidRPr="00826C34">
        <w:rPr>
          <w:rFonts w:ascii="Arial" w:eastAsia="Calibri" w:hAnsi="Arial" w:cs="Arial"/>
          <w:color w:val="000000"/>
          <w:sz w:val="24"/>
          <w:szCs w:val="24"/>
          <w:lang w:val="es-CO"/>
        </w:rPr>
        <w:t>y se desecha la inducción.</w:t>
      </w:r>
    </w:p>
    <w:p w14:paraId="41DDA1B3" w14:textId="77777777" w:rsidR="00826C34" w:rsidRPr="00826C34" w:rsidRDefault="00826C34" w:rsidP="00294D80">
      <w:pPr>
        <w:autoSpaceDE w:val="0"/>
        <w:autoSpaceDN w:val="0"/>
        <w:spacing w:after="0" w:line="276" w:lineRule="auto"/>
        <w:jc w:val="both"/>
        <w:rPr>
          <w:rFonts w:ascii="Arial" w:eastAsia="SimSun" w:hAnsi="Arial" w:cs="Arial"/>
          <w:color w:val="000000"/>
          <w:sz w:val="24"/>
          <w:szCs w:val="24"/>
          <w:lang w:val="es-CO"/>
        </w:rPr>
      </w:pPr>
    </w:p>
    <w:p w14:paraId="6E912FB5" w14:textId="77777777" w:rsidR="00826C34" w:rsidRPr="00826C34" w:rsidRDefault="00826C34" w:rsidP="00294D80">
      <w:pPr>
        <w:autoSpaceDE w:val="0"/>
        <w:autoSpaceDN w:val="0"/>
        <w:spacing w:after="0" w:line="276" w:lineRule="auto"/>
        <w:jc w:val="both"/>
        <w:rPr>
          <w:rFonts w:ascii="Arial" w:eastAsia="SimSun" w:hAnsi="Arial" w:cs="Arial"/>
          <w:color w:val="000000"/>
          <w:sz w:val="24"/>
          <w:szCs w:val="24"/>
          <w:lang w:val="es-CO"/>
        </w:rPr>
      </w:pPr>
    </w:p>
    <w:p w14:paraId="52E0313B" w14:textId="77777777" w:rsidR="00826C34" w:rsidRDefault="00826C34" w:rsidP="00294D80">
      <w:pPr>
        <w:spacing w:line="276" w:lineRule="auto"/>
        <w:jc w:val="both"/>
        <w:rPr>
          <w:rFonts w:ascii="Arial" w:eastAsia="Calibri" w:hAnsi="Arial" w:cs="Arial"/>
          <w:color w:val="000000"/>
          <w:sz w:val="24"/>
          <w:szCs w:val="24"/>
          <w:lang w:val="es-CO"/>
        </w:rPr>
      </w:pPr>
      <w:r w:rsidRPr="00826C34">
        <w:rPr>
          <w:rFonts w:ascii="Arial" w:eastAsia="Calibri" w:hAnsi="Arial" w:cs="Arial"/>
          <w:color w:val="000000"/>
          <w:sz w:val="24"/>
          <w:szCs w:val="24"/>
          <w:lang w:val="es-CO"/>
        </w:rPr>
        <w:t>Uno de los principales expone</w:t>
      </w:r>
      <w:r>
        <w:rPr>
          <w:rFonts w:ascii="Arial" w:eastAsia="Calibri" w:hAnsi="Arial" w:cs="Arial"/>
          <w:color w:val="000000"/>
          <w:sz w:val="24"/>
          <w:szCs w:val="24"/>
          <w:lang w:val="es-CO"/>
        </w:rPr>
        <w:t>ntes de la primera perspectiva fue Hempel, quien centró</w:t>
      </w:r>
      <w:r w:rsidRPr="00826C34">
        <w:rPr>
          <w:rFonts w:ascii="Arial" w:eastAsia="Calibri" w:hAnsi="Arial" w:cs="Arial"/>
          <w:color w:val="000000"/>
          <w:sz w:val="24"/>
          <w:szCs w:val="24"/>
          <w:lang w:val="es-CO"/>
        </w:rPr>
        <w:t xml:space="preserve"> el carácter científico de una actividad en la “explicación". Es decir: en la posibilidad de verificar empíricamente un enunciado. </w:t>
      </w:r>
      <w:r>
        <w:rPr>
          <w:rFonts w:ascii="Arial" w:eastAsia="Calibri" w:hAnsi="Arial" w:cs="Arial"/>
          <w:color w:val="000000"/>
          <w:sz w:val="24"/>
          <w:szCs w:val="24"/>
          <w:lang w:val="es-CO"/>
        </w:rPr>
        <w:t xml:space="preserve"> </w:t>
      </w:r>
      <w:r w:rsidRPr="00826C34">
        <w:rPr>
          <w:rFonts w:ascii="Arial" w:eastAsia="Calibri" w:hAnsi="Arial" w:cs="Arial"/>
          <w:color w:val="000000"/>
          <w:sz w:val="24"/>
          <w:szCs w:val="24"/>
          <w:lang w:val="es-CO"/>
        </w:rPr>
        <w:t>La forma de inferencia lógica que utilizó el Círculo de Viena fue la “inducción". A partir de la observación de acontecimie</w:t>
      </w:r>
      <w:r>
        <w:rPr>
          <w:rFonts w:ascii="Arial" w:eastAsia="Calibri" w:hAnsi="Arial" w:cs="Arial"/>
          <w:color w:val="000000"/>
          <w:sz w:val="24"/>
          <w:szCs w:val="24"/>
          <w:lang w:val="es-CO"/>
        </w:rPr>
        <w:t>ntos regulares en la naturaleza</w:t>
      </w:r>
      <w:r w:rsidRPr="00826C34">
        <w:rPr>
          <w:rFonts w:ascii="Arial" w:eastAsia="Calibri" w:hAnsi="Arial" w:cs="Arial"/>
          <w:color w:val="000000"/>
          <w:sz w:val="24"/>
          <w:szCs w:val="24"/>
          <w:lang w:val="es-CO"/>
        </w:rPr>
        <w:t xml:space="preserve"> pueden obtenerse leyes generales.</w:t>
      </w:r>
    </w:p>
    <w:p w14:paraId="7DCD95A6" w14:textId="77777777" w:rsidR="00294D80" w:rsidRDefault="00294D80" w:rsidP="00294D80">
      <w:pPr>
        <w:spacing w:line="276" w:lineRule="auto"/>
        <w:jc w:val="both"/>
        <w:rPr>
          <w:rFonts w:ascii="Arial" w:eastAsia="Calibri" w:hAnsi="Arial" w:cs="Arial"/>
          <w:color w:val="000000"/>
          <w:sz w:val="24"/>
          <w:szCs w:val="24"/>
          <w:lang w:val="es-CO"/>
        </w:rPr>
      </w:pPr>
    </w:p>
    <w:p w14:paraId="52F2ECC0" w14:textId="77777777" w:rsidR="00294D80" w:rsidRPr="00294D80" w:rsidRDefault="00294D80" w:rsidP="00294D80">
      <w:pPr>
        <w:autoSpaceDE w:val="0"/>
        <w:autoSpaceDN w:val="0"/>
        <w:spacing w:after="0" w:line="276" w:lineRule="auto"/>
        <w:ind w:left="60" w:right="500"/>
        <w:jc w:val="both"/>
        <w:rPr>
          <w:rFonts w:ascii="Arial" w:hAnsi="Arial" w:cs="Arial"/>
          <w:sz w:val="24"/>
          <w:szCs w:val="24"/>
          <w:lang w:val="es-CO"/>
        </w:rPr>
      </w:pPr>
      <w:r w:rsidRPr="00294D80">
        <w:rPr>
          <w:rFonts w:ascii="Arial" w:eastAsia="Calibri" w:hAnsi="Arial" w:cs="Arial"/>
          <w:color w:val="000000"/>
          <w:sz w:val="24"/>
          <w:szCs w:val="24"/>
          <w:lang w:val="es-CO"/>
        </w:rPr>
        <w:t>El ejemplo clásico es el del cisne: si alguien observa un grupo de</w:t>
      </w:r>
      <w:r>
        <w:rPr>
          <w:rFonts w:ascii="Arial" w:eastAsia="Calibri" w:hAnsi="Arial" w:cs="Arial"/>
          <w:color w:val="000000"/>
          <w:sz w:val="24"/>
          <w:szCs w:val="24"/>
          <w:lang w:val="es-CO"/>
        </w:rPr>
        <w:t xml:space="preserve"> diez cisnes y todos son blancos y luego </w:t>
      </w:r>
      <w:r w:rsidRPr="00294D80">
        <w:rPr>
          <w:rFonts w:ascii="Arial" w:eastAsia="Calibri" w:hAnsi="Arial" w:cs="Arial"/>
          <w:color w:val="000000"/>
          <w:sz w:val="24"/>
          <w:szCs w:val="24"/>
          <w:lang w:val="es-CO"/>
        </w:rPr>
        <w:t>ve otros cien cisnes en otro lugar, y, de nuevo son blancos, y posteriormente mira mil, y también son blancos, puede construirse una ley general</w:t>
      </w:r>
      <w:r>
        <w:rPr>
          <w:rFonts w:ascii="Arial" w:eastAsia="Calibri" w:hAnsi="Arial" w:cs="Arial"/>
          <w:color w:val="000000"/>
          <w:sz w:val="24"/>
          <w:szCs w:val="24"/>
          <w:lang w:val="es-CO"/>
        </w:rPr>
        <w:t>: todos</w:t>
      </w:r>
      <w:r w:rsidRPr="00294D80">
        <w:rPr>
          <w:rFonts w:ascii="Arial" w:eastAsia="Calibri" w:hAnsi="Arial" w:cs="Arial"/>
          <w:color w:val="000000"/>
          <w:sz w:val="24"/>
          <w:szCs w:val="24"/>
          <w:lang w:val="es-CO"/>
        </w:rPr>
        <w:t xml:space="preserve"> los cisnes son blancos.</w:t>
      </w:r>
      <w:r>
        <w:rPr>
          <w:rFonts w:ascii="Arial" w:eastAsia="Calibri" w:hAnsi="Arial" w:cs="Arial"/>
          <w:color w:val="000000"/>
          <w:sz w:val="24"/>
          <w:szCs w:val="24"/>
          <w:lang w:val="es-CO"/>
        </w:rPr>
        <w:t xml:space="preserve"> </w:t>
      </w:r>
      <w:r w:rsidRPr="00294D80">
        <w:rPr>
          <w:rFonts w:ascii="Arial" w:eastAsia="Calibri" w:hAnsi="Arial" w:cs="Arial"/>
          <w:color w:val="000000"/>
          <w:sz w:val="24"/>
          <w:szCs w:val="24"/>
          <w:lang w:val="es-CO"/>
        </w:rPr>
        <w:t xml:space="preserve"> En consecuencia, cada vez que aparezca otro cisne blanco, se está “conf</w:t>
      </w:r>
      <w:r>
        <w:rPr>
          <w:rFonts w:ascii="Arial" w:eastAsia="Calibri" w:hAnsi="Arial" w:cs="Arial"/>
          <w:color w:val="000000"/>
          <w:sz w:val="24"/>
          <w:szCs w:val="24"/>
          <w:lang w:val="es-CO"/>
        </w:rPr>
        <w:t>irmando” la hipótesis. Hempel (</w:t>
      </w:r>
      <w:r w:rsidRPr="00294D80">
        <w:rPr>
          <w:rFonts w:ascii="Arial" w:eastAsia="Calibri" w:hAnsi="Arial" w:cs="Arial"/>
          <w:color w:val="000000"/>
          <w:sz w:val="24"/>
          <w:szCs w:val="24"/>
          <w:lang w:val="es-CO"/>
        </w:rPr>
        <w:t xml:space="preserve">como otros del positivismo lógico), además de la inducción, utilizó un modelo de </w:t>
      </w:r>
      <w:r w:rsidRPr="00294D80">
        <w:rPr>
          <w:rFonts w:ascii="Arial" w:eastAsia="Calibri" w:hAnsi="Arial" w:cs="Arial"/>
          <w:color w:val="000000"/>
          <w:sz w:val="24"/>
          <w:szCs w:val="24"/>
          <w:lang w:val="es-CO"/>
        </w:rPr>
        <w:lastRenderedPageBreak/>
        <w:t>“cobertura legal”. Modelo que se caracteriza por la utiliz</w:t>
      </w:r>
      <w:r>
        <w:rPr>
          <w:rFonts w:ascii="Arial" w:eastAsia="Calibri" w:hAnsi="Arial" w:cs="Arial"/>
          <w:color w:val="000000"/>
          <w:sz w:val="24"/>
          <w:szCs w:val="24"/>
          <w:lang w:val="es-CO"/>
        </w:rPr>
        <w:t xml:space="preserve">ación de “leyes científicas”, válidas en todo tiempo y lugar </w:t>
      </w:r>
      <w:r w:rsidRPr="00294D80">
        <w:rPr>
          <w:rFonts w:ascii="Arial" w:eastAsia="Calibri" w:hAnsi="Arial" w:cs="Arial"/>
          <w:color w:val="000000"/>
          <w:sz w:val="24"/>
          <w:szCs w:val="24"/>
          <w:lang w:val="es-CO"/>
        </w:rPr>
        <w:t>y</w:t>
      </w:r>
      <w:r>
        <w:rPr>
          <w:rFonts w:ascii="Arial" w:eastAsia="Calibri" w:hAnsi="Arial" w:cs="Arial"/>
          <w:color w:val="000000"/>
          <w:sz w:val="24"/>
          <w:szCs w:val="24"/>
          <w:lang w:val="es-CO"/>
        </w:rPr>
        <w:t xml:space="preserve"> </w:t>
      </w:r>
      <w:r w:rsidRPr="00294D80">
        <w:rPr>
          <w:rFonts w:ascii="Arial" w:eastAsia="Calibri" w:hAnsi="Arial" w:cs="Arial"/>
          <w:color w:val="000000"/>
          <w:sz w:val="24"/>
          <w:szCs w:val="24"/>
          <w:lang w:val="es-CO"/>
        </w:rPr>
        <w:t>de carácter universal. El modelo de cobertura legal (un modelo basado en leyes)</w:t>
      </w:r>
      <w:r>
        <w:rPr>
          <w:rFonts w:ascii="Arial" w:eastAsia="Calibri" w:hAnsi="Arial" w:cs="Arial"/>
          <w:color w:val="000000"/>
          <w:sz w:val="24"/>
          <w:szCs w:val="24"/>
          <w:lang w:val="es-CO"/>
        </w:rPr>
        <w:t xml:space="preserve"> </w:t>
      </w:r>
      <w:r w:rsidRPr="00294D80">
        <w:rPr>
          <w:rFonts w:ascii="Arial" w:eastAsia="Calibri" w:hAnsi="Arial" w:cs="Arial"/>
          <w:color w:val="000000"/>
          <w:sz w:val="24"/>
          <w:szCs w:val="24"/>
          <w:lang w:val="es-CO"/>
        </w:rPr>
        <w:t>puede ser de</w:t>
      </w:r>
      <w:r>
        <w:rPr>
          <w:rFonts w:ascii="Arial" w:eastAsia="Calibri" w:hAnsi="Arial" w:cs="Arial"/>
          <w:color w:val="000000"/>
          <w:sz w:val="24"/>
          <w:szCs w:val="24"/>
          <w:lang w:val="es-CO"/>
        </w:rPr>
        <w:t xml:space="preserve"> </w:t>
      </w:r>
      <w:r w:rsidRPr="00294D80">
        <w:rPr>
          <w:rFonts w:ascii="Arial" w:eastAsia="Calibri" w:hAnsi="Arial" w:cs="Arial"/>
          <w:color w:val="000000"/>
          <w:sz w:val="24"/>
          <w:szCs w:val="24"/>
          <w:lang w:val="es-CO"/>
        </w:rPr>
        <w:t>dos tipos: nomológico-deductivo o probabilístico-inductivo. El primer enfoque</w:t>
      </w:r>
      <w:r>
        <w:rPr>
          <w:rFonts w:ascii="Arial" w:eastAsia="Calibri" w:hAnsi="Arial" w:cs="Arial"/>
          <w:color w:val="000000"/>
          <w:sz w:val="24"/>
          <w:szCs w:val="24"/>
          <w:lang w:val="es-CO"/>
        </w:rPr>
        <w:t xml:space="preserve"> </w:t>
      </w:r>
      <w:r w:rsidRPr="00294D80">
        <w:rPr>
          <w:rFonts w:ascii="Arial" w:eastAsia="Calibri" w:hAnsi="Arial" w:cs="Arial"/>
          <w:color w:val="000000"/>
          <w:sz w:val="24"/>
          <w:szCs w:val="24"/>
          <w:lang w:val="es-CO"/>
        </w:rPr>
        <w:t>(el nomológico) se basa en la deducción: la ley se construye con certeza. En el otro,</w:t>
      </w:r>
      <w:r>
        <w:rPr>
          <w:rFonts w:ascii="Arial" w:eastAsia="Calibri" w:hAnsi="Arial" w:cs="Arial"/>
          <w:color w:val="000000"/>
          <w:sz w:val="24"/>
          <w:szCs w:val="24"/>
          <w:lang w:val="es-CO"/>
        </w:rPr>
        <w:t xml:space="preserve"> la ley es sólo probable (</w:t>
      </w:r>
      <w:r w:rsidRPr="00294D80">
        <w:rPr>
          <w:rFonts w:ascii="Arial" w:eastAsia="Calibri" w:hAnsi="Arial" w:cs="Arial"/>
          <w:color w:val="000000"/>
          <w:sz w:val="24"/>
          <w:szCs w:val="24"/>
          <w:lang w:val="es-CO"/>
        </w:rPr>
        <w:t>basada en un salto inductivo).</w:t>
      </w:r>
    </w:p>
    <w:p w14:paraId="4C716DDF" w14:textId="77777777" w:rsidR="00294D80" w:rsidRPr="00294D80" w:rsidRDefault="00294D80" w:rsidP="00294D80">
      <w:pPr>
        <w:autoSpaceDE w:val="0"/>
        <w:autoSpaceDN w:val="0"/>
        <w:spacing w:after="0" w:line="276" w:lineRule="auto"/>
        <w:jc w:val="both"/>
        <w:rPr>
          <w:rFonts w:ascii="Arial" w:eastAsia="SimSun" w:hAnsi="Arial" w:cs="Arial"/>
          <w:color w:val="000000"/>
          <w:sz w:val="24"/>
          <w:szCs w:val="24"/>
          <w:lang w:val="es-CO"/>
        </w:rPr>
      </w:pPr>
    </w:p>
    <w:p w14:paraId="3690E1F9" w14:textId="77777777" w:rsidR="00294D80" w:rsidRPr="00294D80" w:rsidRDefault="00294D80" w:rsidP="00294D80">
      <w:pPr>
        <w:autoSpaceDE w:val="0"/>
        <w:autoSpaceDN w:val="0"/>
        <w:spacing w:after="0" w:line="276" w:lineRule="auto"/>
        <w:jc w:val="both"/>
        <w:rPr>
          <w:rFonts w:ascii="Arial" w:eastAsia="SimSun" w:hAnsi="Arial" w:cs="Arial"/>
          <w:color w:val="000000"/>
          <w:sz w:val="24"/>
          <w:szCs w:val="24"/>
          <w:lang w:val="es-CO"/>
        </w:rPr>
      </w:pPr>
    </w:p>
    <w:p w14:paraId="6F39DEC0" w14:textId="77777777" w:rsidR="00294D80" w:rsidRPr="00294D80" w:rsidRDefault="00294D80" w:rsidP="00294D80">
      <w:pPr>
        <w:autoSpaceDE w:val="0"/>
        <w:autoSpaceDN w:val="0"/>
        <w:spacing w:after="0" w:line="276" w:lineRule="auto"/>
        <w:ind w:left="60" w:right="260"/>
        <w:jc w:val="both"/>
        <w:rPr>
          <w:rFonts w:ascii="Arial" w:hAnsi="Arial" w:cs="Arial"/>
          <w:sz w:val="24"/>
          <w:szCs w:val="24"/>
          <w:lang w:val="es-CO"/>
        </w:rPr>
      </w:pPr>
      <w:r w:rsidRPr="00294D80">
        <w:rPr>
          <w:rFonts w:ascii="Arial" w:eastAsia="Calibri" w:hAnsi="Arial" w:cs="Arial"/>
          <w:color w:val="000000"/>
          <w:sz w:val="24"/>
          <w:szCs w:val="24"/>
          <w:lang w:val="es-CO"/>
        </w:rPr>
        <w:t>Como oposición a esta perspectiva aparece el "falsacionismo"</w:t>
      </w:r>
      <w:r>
        <w:rPr>
          <w:rFonts w:ascii="Arial" w:eastAsia="Calibri" w:hAnsi="Arial" w:cs="Arial"/>
          <w:color w:val="000000"/>
          <w:sz w:val="24"/>
          <w:szCs w:val="24"/>
          <w:lang w:val="es-CO"/>
        </w:rPr>
        <w:t xml:space="preserve"> </w:t>
      </w:r>
      <w:r w:rsidRPr="00294D80">
        <w:rPr>
          <w:rFonts w:ascii="Arial" w:eastAsia="Calibri" w:hAnsi="Arial" w:cs="Arial"/>
          <w:color w:val="000000"/>
          <w:sz w:val="24"/>
          <w:szCs w:val="24"/>
          <w:lang w:val="es-CO"/>
        </w:rPr>
        <w:t>de Karl Popper,</w:t>
      </w:r>
      <w:r>
        <w:rPr>
          <w:rFonts w:ascii="Arial" w:eastAsia="Calibri" w:hAnsi="Arial" w:cs="Arial"/>
          <w:color w:val="000000"/>
          <w:sz w:val="24"/>
          <w:szCs w:val="24"/>
          <w:lang w:val="es-CO"/>
        </w:rPr>
        <w:t xml:space="preserve"> </w:t>
      </w:r>
      <w:r w:rsidRPr="00294D80">
        <w:rPr>
          <w:rFonts w:ascii="Arial" w:eastAsia="Calibri" w:hAnsi="Arial" w:cs="Arial"/>
          <w:color w:val="000000"/>
          <w:sz w:val="24"/>
          <w:szCs w:val="24"/>
          <w:lang w:val="es-CO"/>
        </w:rPr>
        <w:t>crítico de la inducción como forma de inferencia lógica. Popper, siguiendo la crítica de Hume a la inducción,</w:t>
      </w:r>
      <w:r>
        <w:rPr>
          <w:rFonts w:ascii="Arial" w:eastAsia="Calibri" w:hAnsi="Arial" w:cs="Arial"/>
          <w:color w:val="000000"/>
          <w:sz w:val="24"/>
          <w:szCs w:val="24"/>
          <w:lang w:val="es-CO"/>
        </w:rPr>
        <w:t xml:space="preserve"> </w:t>
      </w:r>
      <w:r w:rsidRPr="00294D80">
        <w:rPr>
          <w:rFonts w:ascii="Arial" w:eastAsia="Calibri" w:hAnsi="Arial" w:cs="Arial"/>
          <w:color w:val="000000"/>
          <w:sz w:val="24"/>
          <w:szCs w:val="24"/>
          <w:lang w:val="es-CO"/>
        </w:rPr>
        <w:t>sostiene que no se pueden construir “hipótesis universales",</w:t>
      </w:r>
      <w:r>
        <w:rPr>
          <w:rFonts w:ascii="Arial" w:eastAsia="Calibri" w:hAnsi="Arial" w:cs="Arial"/>
          <w:color w:val="000000"/>
          <w:sz w:val="24"/>
          <w:szCs w:val="24"/>
          <w:lang w:val="es-CO"/>
        </w:rPr>
        <w:t xml:space="preserve"> </w:t>
      </w:r>
      <w:r w:rsidRPr="00294D80">
        <w:rPr>
          <w:rFonts w:ascii="Arial" w:eastAsia="Calibri" w:hAnsi="Arial" w:cs="Arial"/>
          <w:color w:val="000000"/>
          <w:sz w:val="24"/>
          <w:szCs w:val="24"/>
          <w:lang w:val="es-CO"/>
        </w:rPr>
        <w:t>partiendo de observaciones finitas. Con la observación finita de cien mil cisnes blancos, no se puede hacer un salto inductivo para elaborar una ley universal: todos los cisnes son blancos. Para tener certeza, se necesitaría contar con todos los datos del universo (un imposible). Del hecho de que se observe que, en nuestro sistema solar,</w:t>
      </w:r>
      <w:r>
        <w:rPr>
          <w:rFonts w:ascii="Arial" w:eastAsia="Calibri" w:hAnsi="Arial" w:cs="Arial"/>
          <w:color w:val="000000"/>
          <w:sz w:val="24"/>
          <w:szCs w:val="24"/>
          <w:lang w:val="es-CO"/>
        </w:rPr>
        <w:t xml:space="preserve"> </w:t>
      </w:r>
      <w:r w:rsidRPr="00294D80">
        <w:rPr>
          <w:rFonts w:ascii="Arial" w:eastAsia="Calibri" w:hAnsi="Arial" w:cs="Arial"/>
          <w:color w:val="000000"/>
          <w:sz w:val="24"/>
          <w:szCs w:val="24"/>
          <w:lang w:val="es-CO"/>
        </w:rPr>
        <w:t>los planetas giran alrededor del sol en forma elíptica, no puede construirse una ley universal que diga:</w:t>
      </w:r>
      <w:r>
        <w:rPr>
          <w:rFonts w:ascii="Arial" w:eastAsia="Calibri" w:hAnsi="Arial" w:cs="Arial"/>
          <w:color w:val="000000"/>
          <w:sz w:val="24"/>
          <w:szCs w:val="24"/>
          <w:lang w:val="es-CO"/>
        </w:rPr>
        <w:t xml:space="preserve"> </w:t>
      </w:r>
      <w:r w:rsidRPr="00294D80">
        <w:rPr>
          <w:rFonts w:ascii="Arial" w:eastAsia="Calibri" w:hAnsi="Arial" w:cs="Arial"/>
          <w:color w:val="000000"/>
          <w:sz w:val="24"/>
          <w:szCs w:val="24"/>
          <w:lang w:val="es-CO"/>
        </w:rPr>
        <w:t>todos los planetas del universo giran en torno a su estrella en forma de elipse. En lugar de que la ciencia se ocupe en encontrar más planetas que giren en forma de elipse,</w:t>
      </w:r>
      <w:r>
        <w:rPr>
          <w:rFonts w:ascii="Arial" w:eastAsia="Calibri" w:hAnsi="Arial" w:cs="Arial"/>
          <w:color w:val="000000"/>
          <w:sz w:val="24"/>
          <w:szCs w:val="24"/>
          <w:lang w:val="es-CO"/>
        </w:rPr>
        <w:t xml:space="preserve"> </w:t>
      </w:r>
      <w:r w:rsidRPr="00294D80">
        <w:rPr>
          <w:rFonts w:ascii="Arial" w:eastAsia="Calibri" w:hAnsi="Arial" w:cs="Arial"/>
          <w:color w:val="000000"/>
          <w:sz w:val="24"/>
          <w:szCs w:val="24"/>
          <w:lang w:val="es-CO"/>
        </w:rPr>
        <w:t>debe procurar observa</w:t>
      </w:r>
      <w:r>
        <w:rPr>
          <w:rFonts w:ascii="Arial" w:eastAsia="Calibri" w:hAnsi="Arial" w:cs="Arial"/>
          <w:color w:val="000000"/>
          <w:sz w:val="24"/>
          <w:szCs w:val="24"/>
          <w:lang w:val="es-CO"/>
        </w:rPr>
        <w:t>r</w:t>
      </w:r>
      <w:r w:rsidRPr="00294D80">
        <w:rPr>
          <w:rFonts w:ascii="Arial" w:eastAsia="Calibri" w:hAnsi="Arial" w:cs="Arial"/>
          <w:color w:val="000000"/>
          <w:sz w:val="24"/>
          <w:szCs w:val="24"/>
          <w:lang w:val="es-CO"/>
        </w:rPr>
        <w:t xml:space="preserve"> si, alguno de ellos, lo hace en forma diferente.</w:t>
      </w:r>
      <w:r>
        <w:rPr>
          <w:rFonts w:ascii="Arial" w:eastAsia="Calibri" w:hAnsi="Arial" w:cs="Arial"/>
          <w:color w:val="000000"/>
          <w:sz w:val="24"/>
          <w:szCs w:val="24"/>
          <w:lang w:val="es-CO"/>
        </w:rPr>
        <w:t xml:space="preserve">  En forma más simple, </w:t>
      </w:r>
      <w:r w:rsidRPr="00294D80">
        <w:rPr>
          <w:rFonts w:ascii="Arial" w:eastAsia="Calibri" w:hAnsi="Arial" w:cs="Arial"/>
          <w:color w:val="000000"/>
          <w:sz w:val="24"/>
          <w:szCs w:val="24"/>
          <w:lang w:val="es-CO"/>
        </w:rPr>
        <w:t>en vez de ocuparnos de encontrar más cisnes blancos, utilicemos herramientas para observar si existe algún cisne negro.</w:t>
      </w:r>
      <w:r>
        <w:rPr>
          <w:rFonts w:ascii="Arial" w:eastAsia="Calibri" w:hAnsi="Arial" w:cs="Arial"/>
          <w:color w:val="000000"/>
          <w:sz w:val="24"/>
          <w:szCs w:val="24"/>
          <w:lang w:val="es-CO"/>
        </w:rPr>
        <w:t xml:space="preserve"> </w:t>
      </w:r>
      <w:r w:rsidRPr="00294D80">
        <w:rPr>
          <w:rFonts w:ascii="Arial" w:eastAsia="Calibri" w:hAnsi="Arial" w:cs="Arial"/>
          <w:color w:val="000000"/>
          <w:sz w:val="24"/>
          <w:szCs w:val="24"/>
          <w:lang w:val="es-CO"/>
        </w:rPr>
        <w:t xml:space="preserve"> Es lo que Popper denomina “corroboración”.</w:t>
      </w:r>
      <w:r>
        <w:rPr>
          <w:rFonts w:ascii="Arial" w:eastAsia="Calibri" w:hAnsi="Arial" w:cs="Arial"/>
          <w:color w:val="000000"/>
          <w:sz w:val="24"/>
          <w:szCs w:val="24"/>
          <w:lang w:val="es-CO"/>
        </w:rPr>
        <w:t xml:space="preserve"> Es decir, </w:t>
      </w:r>
      <w:r w:rsidRPr="00294D80">
        <w:rPr>
          <w:rFonts w:ascii="Arial" w:eastAsia="Calibri" w:hAnsi="Arial" w:cs="Arial"/>
          <w:color w:val="000000"/>
          <w:sz w:val="24"/>
          <w:szCs w:val="24"/>
          <w:lang w:val="es-CO"/>
        </w:rPr>
        <w:t>falsacionismo. Mientras no aparezca un cisne negro</w:t>
      </w:r>
      <w:r>
        <w:rPr>
          <w:rFonts w:ascii="Arial" w:eastAsia="Calibri" w:hAnsi="Arial" w:cs="Arial"/>
          <w:color w:val="000000"/>
          <w:sz w:val="24"/>
          <w:szCs w:val="24"/>
          <w:lang w:val="es-CO"/>
        </w:rPr>
        <w:t xml:space="preserve"> </w:t>
      </w:r>
      <w:r w:rsidRPr="00294D80">
        <w:rPr>
          <w:rFonts w:ascii="Arial" w:eastAsia="Calibri" w:hAnsi="Arial" w:cs="Arial"/>
          <w:color w:val="000000"/>
          <w:sz w:val="24"/>
          <w:szCs w:val="24"/>
          <w:lang w:val="es-CO"/>
        </w:rPr>
        <w:t>la hipótesis esta corroborada y se tiene provisionalmente como verdadera.</w:t>
      </w:r>
    </w:p>
    <w:p w14:paraId="1A236F07" w14:textId="77777777" w:rsidR="00294D80" w:rsidRPr="00294D80" w:rsidRDefault="00294D80" w:rsidP="00294D80">
      <w:pPr>
        <w:autoSpaceDE w:val="0"/>
        <w:autoSpaceDN w:val="0"/>
        <w:spacing w:after="0" w:line="276" w:lineRule="auto"/>
        <w:jc w:val="both"/>
        <w:rPr>
          <w:rFonts w:ascii="Arial" w:eastAsia="SimSun" w:hAnsi="Arial" w:cs="Arial"/>
          <w:color w:val="000000"/>
          <w:sz w:val="24"/>
          <w:szCs w:val="24"/>
          <w:lang w:val="es-CO"/>
        </w:rPr>
      </w:pPr>
    </w:p>
    <w:p w14:paraId="5C671C02" w14:textId="77777777" w:rsidR="00294D80" w:rsidRPr="00294D80" w:rsidRDefault="00294D80" w:rsidP="00294D80">
      <w:pPr>
        <w:autoSpaceDE w:val="0"/>
        <w:autoSpaceDN w:val="0"/>
        <w:spacing w:after="0" w:line="276" w:lineRule="auto"/>
        <w:jc w:val="both"/>
        <w:rPr>
          <w:rFonts w:ascii="Arial" w:eastAsia="SimSun" w:hAnsi="Arial" w:cs="Arial"/>
          <w:color w:val="000000"/>
          <w:sz w:val="24"/>
          <w:szCs w:val="24"/>
          <w:lang w:val="es-CO"/>
        </w:rPr>
      </w:pPr>
    </w:p>
    <w:p w14:paraId="7AAA68F7" w14:textId="77777777" w:rsidR="00294D80" w:rsidRDefault="00294D80" w:rsidP="00294D80">
      <w:pPr>
        <w:autoSpaceDE w:val="0"/>
        <w:autoSpaceDN w:val="0"/>
        <w:spacing w:after="0" w:line="276" w:lineRule="auto"/>
        <w:ind w:left="60" w:right="260"/>
        <w:jc w:val="both"/>
        <w:rPr>
          <w:rFonts w:ascii="Arial" w:eastAsia="Calibri" w:hAnsi="Arial" w:cs="Arial"/>
          <w:color w:val="000000"/>
          <w:sz w:val="24"/>
          <w:szCs w:val="24"/>
          <w:lang w:val="es-CO"/>
        </w:rPr>
      </w:pPr>
      <w:r w:rsidRPr="00294D80">
        <w:rPr>
          <w:rFonts w:ascii="Arial" w:eastAsia="Calibri" w:hAnsi="Arial" w:cs="Arial"/>
          <w:color w:val="000000"/>
          <w:sz w:val="24"/>
          <w:szCs w:val="24"/>
          <w:lang w:val="es-CO"/>
        </w:rPr>
        <w:t>Una de las críticas que se formula al primer elemento de la demarcación utiliza</w:t>
      </w:r>
      <w:r>
        <w:rPr>
          <w:rFonts w:ascii="Arial" w:eastAsia="Calibri" w:hAnsi="Arial" w:cs="Arial"/>
          <w:color w:val="000000"/>
          <w:sz w:val="24"/>
          <w:szCs w:val="24"/>
          <w:lang w:val="es-CO"/>
        </w:rPr>
        <w:t>do por la Corte Suprema de Estados Unidos (</w:t>
      </w:r>
      <w:r w:rsidRPr="00294D80">
        <w:rPr>
          <w:rFonts w:ascii="Arial" w:eastAsia="Calibri" w:hAnsi="Arial" w:cs="Arial"/>
          <w:color w:val="000000"/>
          <w:sz w:val="24"/>
          <w:szCs w:val="24"/>
          <w:lang w:val="es-CO"/>
        </w:rPr>
        <w:t>el de la verificación empírica del enunciado), es la utilización simultanea de dos perspectivas de la filosofía clásica de la ciencia que son opuestas, en lo que atañe a la demarcación: la basada en la inducción y la explicación científica</w:t>
      </w:r>
      <w:r>
        <w:rPr>
          <w:rFonts w:ascii="Arial" w:eastAsia="Calibri" w:hAnsi="Arial" w:cs="Arial"/>
          <w:color w:val="000000"/>
          <w:sz w:val="24"/>
          <w:szCs w:val="24"/>
          <w:lang w:val="es-CO"/>
        </w:rPr>
        <w:t xml:space="preserve"> apoyada en leyes universales (</w:t>
      </w:r>
      <w:r w:rsidRPr="00294D80">
        <w:rPr>
          <w:rFonts w:ascii="Arial" w:eastAsia="Calibri" w:hAnsi="Arial" w:cs="Arial"/>
          <w:color w:val="000000"/>
          <w:sz w:val="24"/>
          <w:szCs w:val="24"/>
          <w:lang w:val="es-CO"/>
        </w:rPr>
        <w:t>Hempel), y, la del falsacionismo (Popper) que se opone críticamente a la inducción. A partir de</w:t>
      </w:r>
      <w:r>
        <w:rPr>
          <w:rFonts w:ascii="Arial" w:eastAsia="Calibri" w:hAnsi="Arial" w:cs="Arial"/>
          <w:color w:val="000000"/>
          <w:sz w:val="24"/>
          <w:szCs w:val="24"/>
          <w:lang w:val="es-CO"/>
        </w:rPr>
        <w:t xml:space="preserve"> datos finitos de sucesos </w:t>
      </w:r>
      <w:r w:rsidRPr="00294D80">
        <w:rPr>
          <w:rFonts w:ascii="Arial" w:eastAsia="Calibri" w:hAnsi="Arial" w:cs="Arial"/>
          <w:color w:val="000000"/>
          <w:sz w:val="24"/>
          <w:szCs w:val="24"/>
          <w:lang w:val="es-CO"/>
        </w:rPr>
        <w:t>naturales particulares, no pueden construirse leyes universales. Sin embargo, a pesar de las diferencias, lo importante del criterio, e</w:t>
      </w:r>
      <w:r>
        <w:rPr>
          <w:rFonts w:ascii="Arial" w:eastAsia="Calibri" w:hAnsi="Arial" w:cs="Arial"/>
          <w:color w:val="000000"/>
          <w:sz w:val="24"/>
          <w:szCs w:val="24"/>
          <w:lang w:val="es-CO"/>
        </w:rPr>
        <w:t xml:space="preserve">s que desechan como científicos </w:t>
      </w:r>
      <w:r w:rsidRPr="00294D80">
        <w:rPr>
          <w:rFonts w:ascii="Arial" w:eastAsia="Calibri" w:hAnsi="Arial" w:cs="Arial"/>
          <w:color w:val="000000"/>
          <w:sz w:val="24"/>
          <w:szCs w:val="24"/>
          <w:lang w:val="es-CO"/>
        </w:rPr>
        <w:t>enunciados que no pueden ser “corroborados” o “confirmados” empíricamente.</w:t>
      </w:r>
      <w:r>
        <w:rPr>
          <w:rFonts w:ascii="Arial" w:eastAsia="Calibri" w:hAnsi="Arial" w:cs="Arial"/>
          <w:color w:val="000000"/>
          <w:sz w:val="24"/>
          <w:szCs w:val="24"/>
          <w:lang w:val="es-CO"/>
        </w:rPr>
        <w:t xml:space="preserve"> </w:t>
      </w:r>
      <w:r w:rsidRPr="00294D80">
        <w:rPr>
          <w:rFonts w:ascii="Arial" w:eastAsia="Calibri" w:hAnsi="Arial" w:cs="Arial"/>
          <w:color w:val="000000"/>
          <w:sz w:val="24"/>
          <w:szCs w:val="24"/>
          <w:lang w:val="es-CO"/>
        </w:rPr>
        <w:t>No tienen ingreso las proposiciones metafísicas.</w:t>
      </w:r>
    </w:p>
    <w:p w14:paraId="7689CFAD" w14:textId="77777777" w:rsidR="00E70182" w:rsidRDefault="00E70182" w:rsidP="00294D80">
      <w:pPr>
        <w:autoSpaceDE w:val="0"/>
        <w:autoSpaceDN w:val="0"/>
        <w:spacing w:after="0" w:line="276" w:lineRule="auto"/>
        <w:ind w:left="60" w:right="260"/>
        <w:jc w:val="both"/>
        <w:rPr>
          <w:rFonts w:ascii="Arial" w:eastAsia="Calibri" w:hAnsi="Arial" w:cs="Arial"/>
          <w:color w:val="000000"/>
          <w:sz w:val="24"/>
          <w:szCs w:val="24"/>
          <w:lang w:val="es-CO"/>
        </w:rPr>
      </w:pPr>
    </w:p>
    <w:p w14:paraId="1FF11B1B" w14:textId="77777777" w:rsidR="00E70182" w:rsidRDefault="00E70182" w:rsidP="00294D80">
      <w:pPr>
        <w:autoSpaceDE w:val="0"/>
        <w:autoSpaceDN w:val="0"/>
        <w:spacing w:after="0" w:line="276" w:lineRule="auto"/>
        <w:ind w:left="60" w:right="260"/>
        <w:jc w:val="both"/>
        <w:rPr>
          <w:rFonts w:ascii="Arial" w:hAnsi="Arial" w:cs="Arial"/>
          <w:sz w:val="24"/>
          <w:szCs w:val="24"/>
          <w:lang w:val="es-CO"/>
        </w:rPr>
      </w:pPr>
    </w:p>
    <w:p w14:paraId="7FA9AD00" w14:textId="77777777" w:rsidR="00E70182" w:rsidRDefault="00E70182" w:rsidP="00E70182">
      <w:pPr>
        <w:autoSpaceDE w:val="0"/>
        <w:autoSpaceDN w:val="0"/>
        <w:spacing w:after="0" w:line="276" w:lineRule="auto"/>
        <w:ind w:left="60" w:right="300"/>
        <w:jc w:val="both"/>
        <w:rPr>
          <w:rFonts w:ascii="Arial" w:eastAsia="Calibri" w:hAnsi="Arial" w:cs="Arial"/>
          <w:color w:val="000000"/>
          <w:sz w:val="24"/>
          <w:szCs w:val="24"/>
          <w:lang w:val="es-CO"/>
        </w:rPr>
      </w:pPr>
      <w:r w:rsidRPr="00E70182">
        <w:rPr>
          <w:rFonts w:ascii="Arial" w:eastAsia="Calibri" w:hAnsi="Arial" w:cs="Arial"/>
          <w:color w:val="000000"/>
          <w:sz w:val="24"/>
          <w:szCs w:val="24"/>
          <w:lang w:val="es-CO"/>
        </w:rPr>
        <w:t xml:space="preserve">Un ejemplo de la vida real, de una “técnica” utilizada en un proceso por homicidio en México, es el citado por Carmen Vásquez. Se aceptó ingresar a una investigación, la “técnica” de una vidente llamada “La Paca”, quien dijo donde se </w:t>
      </w:r>
      <w:r w:rsidRPr="00E70182">
        <w:rPr>
          <w:rFonts w:ascii="Arial" w:eastAsia="Calibri" w:hAnsi="Arial" w:cs="Arial"/>
          <w:color w:val="000000"/>
          <w:sz w:val="24"/>
          <w:szCs w:val="24"/>
          <w:lang w:val="es-CO"/>
        </w:rPr>
        <w:lastRenderedPageBreak/>
        <w:t>encontraba el cuerpo de un empresario desaparecido. Curiosamente, el conocimiento adquirido a través de "poderes de adivinación", dio resultado: se encontró el cuerpo que nadie había podido ubicar. Una “prueba” de esta no había podido ser ni siquiera admitida, pues no se basa en comprobaciones empíricas</w:t>
      </w:r>
      <w:r w:rsidRPr="00E70182">
        <w:rPr>
          <w:rFonts w:ascii="Arial" w:eastAsia="Calibri" w:hAnsi="Arial" w:cs="Arial" w:hint="eastAsia"/>
          <w:color w:val="000000"/>
          <w:sz w:val="24"/>
          <w:szCs w:val="24"/>
          <w:lang w:val="es-CO"/>
        </w:rPr>
        <w:t>.</w:t>
      </w:r>
    </w:p>
    <w:p w14:paraId="2B5EE32B" w14:textId="77777777" w:rsidR="00E70182" w:rsidRDefault="00E70182" w:rsidP="00E70182">
      <w:pPr>
        <w:autoSpaceDE w:val="0"/>
        <w:autoSpaceDN w:val="0"/>
        <w:spacing w:after="0" w:line="276" w:lineRule="auto"/>
        <w:ind w:left="60" w:right="300"/>
        <w:jc w:val="both"/>
        <w:rPr>
          <w:rFonts w:ascii="Arial" w:eastAsia="Calibri" w:hAnsi="Arial" w:cs="Arial"/>
          <w:color w:val="000000"/>
          <w:sz w:val="24"/>
          <w:szCs w:val="24"/>
          <w:lang w:val="es-CO"/>
        </w:rPr>
      </w:pPr>
    </w:p>
    <w:p w14:paraId="723DC05C" w14:textId="77777777" w:rsidR="00E70182" w:rsidRDefault="00E70182" w:rsidP="00E70182">
      <w:pPr>
        <w:autoSpaceDE w:val="0"/>
        <w:autoSpaceDN w:val="0"/>
        <w:spacing w:after="0" w:line="276" w:lineRule="auto"/>
        <w:ind w:left="60" w:right="300"/>
        <w:jc w:val="both"/>
        <w:rPr>
          <w:rFonts w:ascii="Arial" w:eastAsia="Calibri" w:hAnsi="Arial" w:cs="Arial"/>
          <w:color w:val="000000"/>
          <w:sz w:val="24"/>
          <w:szCs w:val="24"/>
          <w:lang w:val="es-CO"/>
        </w:rPr>
      </w:pPr>
    </w:p>
    <w:p w14:paraId="46097E29" w14:textId="77777777" w:rsidR="00E70182" w:rsidRPr="00E70182" w:rsidRDefault="00E70182" w:rsidP="00E70182">
      <w:pPr>
        <w:autoSpaceDE w:val="0"/>
        <w:autoSpaceDN w:val="0"/>
        <w:spacing w:after="0" w:line="322" w:lineRule="exact"/>
        <w:ind w:firstLine="440"/>
        <w:jc w:val="both"/>
        <w:rPr>
          <w:rFonts w:ascii="Arial" w:hAnsi="Arial" w:cs="Arial"/>
          <w:sz w:val="24"/>
          <w:szCs w:val="24"/>
          <w:lang w:val="es-CO"/>
        </w:rPr>
      </w:pPr>
      <w:r w:rsidRPr="00E70182">
        <w:rPr>
          <w:rFonts w:ascii="Arial" w:eastAsia="Calibri" w:hAnsi="Arial" w:cs="Arial"/>
          <w:color w:val="000000"/>
          <w:sz w:val="24"/>
          <w:szCs w:val="24"/>
          <w:lang w:val="es-CO"/>
        </w:rPr>
        <w:t>2. PUBLICACIÓN EN REVISTAS CIENTIFICAS.</w:t>
      </w:r>
    </w:p>
    <w:p w14:paraId="7539C4BB" w14:textId="77777777" w:rsidR="00E70182" w:rsidRPr="00E70182" w:rsidRDefault="00E70182" w:rsidP="00E70182">
      <w:pPr>
        <w:autoSpaceDE w:val="0"/>
        <w:autoSpaceDN w:val="0"/>
        <w:spacing w:after="0" w:line="285" w:lineRule="exact"/>
        <w:jc w:val="both"/>
        <w:rPr>
          <w:rFonts w:ascii="Arial" w:eastAsia="SimSun" w:hAnsi="Arial" w:cs="Arial"/>
          <w:color w:val="000000"/>
          <w:sz w:val="24"/>
          <w:szCs w:val="24"/>
          <w:lang w:val="es-CO"/>
        </w:rPr>
      </w:pPr>
    </w:p>
    <w:p w14:paraId="443D31F8" w14:textId="77777777" w:rsidR="00E70182" w:rsidRPr="00E70182" w:rsidRDefault="00E70182" w:rsidP="00E70182">
      <w:pPr>
        <w:autoSpaceDE w:val="0"/>
        <w:autoSpaceDN w:val="0"/>
        <w:spacing w:after="0" w:line="285" w:lineRule="exact"/>
        <w:jc w:val="both"/>
        <w:rPr>
          <w:rFonts w:ascii="Arial" w:eastAsia="SimSun" w:hAnsi="Arial" w:cs="Arial"/>
          <w:color w:val="000000"/>
          <w:sz w:val="24"/>
          <w:szCs w:val="24"/>
          <w:lang w:val="es-CO"/>
        </w:rPr>
      </w:pPr>
    </w:p>
    <w:p w14:paraId="7AB2D0A1" w14:textId="77777777" w:rsidR="00E70182" w:rsidRPr="00E70182" w:rsidRDefault="00E70182" w:rsidP="00E70182">
      <w:pPr>
        <w:autoSpaceDE w:val="0"/>
        <w:autoSpaceDN w:val="0"/>
        <w:spacing w:after="0" w:line="331" w:lineRule="exact"/>
        <w:ind w:left="60" w:right="300"/>
        <w:jc w:val="both"/>
        <w:rPr>
          <w:rFonts w:ascii="Arial" w:hAnsi="Arial" w:cs="Arial"/>
          <w:sz w:val="24"/>
          <w:szCs w:val="24"/>
          <w:lang w:val="es-CO"/>
        </w:rPr>
      </w:pPr>
      <w:r w:rsidRPr="00E70182">
        <w:rPr>
          <w:rFonts w:ascii="Arial" w:eastAsia="Calibri" w:hAnsi="Arial" w:cs="Arial"/>
          <w:color w:val="000000"/>
          <w:sz w:val="24"/>
          <w:szCs w:val="24"/>
          <w:lang w:val="es-CO"/>
        </w:rPr>
        <w:t>Este postulado supone que una revista científica sólo publica trabajos que tengan una seriedad académica, verificada previamente por pares. La crítica que se hace (ver:</w:t>
      </w:r>
      <w:r>
        <w:rPr>
          <w:rFonts w:ascii="Arial" w:eastAsia="Calibri" w:hAnsi="Arial" w:cs="Arial"/>
          <w:color w:val="000000"/>
          <w:sz w:val="24"/>
          <w:szCs w:val="24"/>
          <w:lang w:val="es-CO"/>
        </w:rPr>
        <w:t xml:space="preserve"> </w:t>
      </w:r>
      <w:r w:rsidRPr="00E70182">
        <w:rPr>
          <w:rFonts w:ascii="Arial" w:eastAsia="Calibri" w:hAnsi="Arial" w:cs="Arial"/>
          <w:color w:val="000000"/>
          <w:sz w:val="24"/>
          <w:szCs w:val="24"/>
          <w:lang w:val="es-CO"/>
        </w:rPr>
        <w:t>Carmen Vásquez), es que lo importante no es tanto donde h</w:t>
      </w:r>
      <w:r>
        <w:rPr>
          <w:rFonts w:ascii="Arial" w:eastAsia="Calibri" w:hAnsi="Arial" w:cs="Arial"/>
          <w:color w:val="000000"/>
          <w:sz w:val="24"/>
          <w:szCs w:val="24"/>
          <w:lang w:val="es-CO"/>
        </w:rPr>
        <w:t>a sido publicada la hipótesis (</w:t>
      </w:r>
      <w:r w:rsidRPr="00E70182">
        <w:rPr>
          <w:rFonts w:ascii="Arial" w:eastAsia="Calibri" w:hAnsi="Arial" w:cs="Arial"/>
          <w:color w:val="000000"/>
          <w:sz w:val="24"/>
          <w:szCs w:val="24"/>
          <w:lang w:val="es-CO"/>
        </w:rPr>
        <w:t>a veces no hay criterios serios para publicar un trabajo en una revista), sino,</w:t>
      </w:r>
      <w:r>
        <w:rPr>
          <w:rFonts w:ascii="Arial" w:eastAsia="Calibri" w:hAnsi="Arial" w:cs="Arial"/>
          <w:color w:val="000000"/>
          <w:sz w:val="24"/>
          <w:szCs w:val="24"/>
          <w:lang w:val="es-CO"/>
        </w:rPr>
        <w:t xml:space="preserve"> </w:t>
      </w:r>
      <w:r w:rsidRPr="00E70182">
        <w:rPr>
          <w:rFonts w:ascii="Arial" w:eastAsia="Calibri" w:hAnsi="Arial" w:cs="Arial"/>
          <w:color w:val="000000"/>
          <w:sz w:val="24"/>
          <w:szCs w:val="24"/>
          <w:lang w:val="es-CO"/>
        </w:rPr>
        <w:t xml:space="preserve">cuál ha sido el debate posterior a la publicación. Especialmente, qué han dicho los pares académicos después de la publicación del artículo. </w:t>
      </w:r>
      <w:r>
        <w:rPr>
          <w:rFonts w:ascii="Arial" w:eastAsia="Calibri" w:hAnsi="Arial" w:cs="Arial"/>
          <w:color w:val="000000"/>
          <w:sz w:val="24"/>
          <w:szCs w:val="24"/>
          <w:lang w:val="es-CO"/>
        </w:rPr>
        <w:t>De ahí surgirán preguntas como ¿</w:t>
      </w:r>
      <w:r w:rsidRPr="00E70182">
        <w:rPr>
          <w:rFonts w:ascii="Arial" w:eastAsia="Calibri" w:hAnsi="Arial" w:cs="Arial"/>
          <w:color w:val="000000"/>
          <w:sz w:val="24"/>
          <w:szCs w:val="24"/>
          <w:lang w:val="es-CO"/>
        </w:rPr>
        <w:t>se demostraron empíricamente los enunciados?</w:t>
      </w:r>
    </w:p>
    <w:p w14:paraId="38FAB304" w14:textId="77777777" w:rsidR="00E70182" w:rsidRPr="006D19A1" w:rsidRDefault="00E70182" w:rsidP="00E70182">
      <w:pPr>
        <w:autoSpaceDE w:val="0"/>
        <w:autoSpaceDN w:val="0"/>
        <w:spacing w:after="0" w:line="285" w:lineRule="exact"/>
        <w:jc w:val="both"/>
        <w:rPr>
          <w:rFonts w:ascii="SimSun" w:eastAsia="SimSun" w:hAnsi="SimSun"/>
          <w:color w:val="000000"/>
          <w:lang w:val="es-CO"/>
        </w:rPr>
      </w:pPr>
    </w:p>
    <w:p w14:paraId="04B2641E" w14:textId="77777777" w:rsidR="00E70182" w:rsidRPr="006D19A1" w:rsidRDefault="00E70182" w:rsidP="00E70182">
      <w:pPr>
        <w:autoSpaceDE w:val="0"/>
        <w:autoSpaceDN w:val="0"/>
        <w:spacing w:after="0" w:line="285" w:lineRule="exact"/>
        <w:jc w:val="both"/>
        <w:rPr>
          <w:rFonts w:ascii="SimSun" w:eastAsia="SimSun" w:hAnsi="SimSun"/>
          <w:color w:val="000000"/>
          <w:lang w:val="es-CO"/>
        </w:rPr>
      </w:pPr>
    </w:p>
    <w:p w14:paraId="4AB78733" w14:textId="77777777" w:rsidR="00E70182" w:rsidRPr="006D19A1" w:rsidRDefault="00E70182" w:rsidP="00E70182">
      <w:pPr>
        <w:autoSpaceDE w:val="0"/>
        <w:autoSpaceDN w:val="0"/>
        <w:spacing w:after="0" w:line="285" w:lineRule="exact"/>
        <w:jc w:val="both"/>
        <w:rPr>
          <w:rFonts w:ascii="SimSun" w:eastAsia="SimSun" w:hAnsi="SimSun"/>
          <w:color w:val="000000"/>
          <w:lang w:val="es-CO"/>
        </w:rPr>
      </w:pPr>
    </w:p>
    <w:p w14:paraId="7DCA811F" w14:textId="77777777" w:rsidR="00E70182" w:rsidRPr="00E70182" w:rsidRDefault="00E70182" w:rsidP="00E70182">
      <w:pPr>
        <w:autoSpaceDE w:val="0"/>
        <w:autoSpaceDN w:val="0"/>
        <w:spacing w:after="0" w:line="338" w:lineRule="exact"/>
        <w:ind w:firstLine="440"/>
        <w:jc w:val="both"/>
        <w:rPr>
          <w:rFonts w:ascii="Arial" w:hAnsi="Arial" w:cs="Arial"/>
          <w:sz w:val="24"/>
          <w:szCs w:val="24"/>
          <w:lang w:val="es-CO"/>
        </w:rPr>
      </w:pPr>
      <w:r w:rsidRPr="00E70182">
        <w:rPr>
          <w:rFonts w:ascii="Arial" w:eastAsia="Calibri" w:hAnsi="Arial" w:cs="Arial"/>
          <w:color w:val="000000"/>
          <w:sz w:val="24"/>
          <w:szCs w:val="24"/>
          <w:lang w:val="es-CO"/>
        </w:rPr>
        <w:t>3. EL MARGEN DE ERROR</w:t>
      </w:r>
    </w:p>
    <w:p w14:paraId="5CC87B0B" w14:textId="77777777" w:rsidR="00E70182" w:rsidRPr="00E70182" w:rsidRDefault="00E70182" w:rsidP="00E70182">
      <w:pPr>
        <w:autoSpaceDE w:val="0"/>
        <w:autoSpaceDN w:val="0"/>
        <w:spacing w:after="0" w:line="285" w:lineRule="exact"/>
        <w:jc w:val="both"/>
        <w:rPr>
          <w:rFonts w:ascii="Arial" w:eastAsia="SimSun" w:hAnsi="Arial" w:cs="Arial"/>
          <w:color w:val="000000"/>
          <w:sz w:val="24"/>
          <w:szCs w:val="24"/>
          <w:lang w:val="es-CO"/>
        </w:rPr>
      </w:pPr>
    </w:p>
    <w:p w14:paraId="12254DB5" w14:textId="77777777" w:rsidR="00E70182" w:rsidRPr="00E70182" w:rsidRDefault="00E70182" w:rsidP="00E70182">
      <w:pPr>
        <w:autoSpaceDE w:val="0"/>
        <w:autoSpaceDN w:val="0"/>
        <w:spacing w:after="0" w:line="285" w:lineRule="exact"/>
        <w:jc w:val="both"/>
        <w:rPr>
          <w:rFonts w:ascii="Arial" w:eastAsia="SimSun" w:hAnsi="Arial" w:cs="Arial"/>
          <w:color w:val="000000"/>
          <w:sz w:val="24"/>
          <w:szCs w:val="24"/>
          <w:lang w:val="es-CO"/>
        </w:rPr>
      </w:pPr>
    </w:p>
    <w:p w14:paraId="3C22E422" w14:textId="77777777" w:rsidR="00E70182" w:rsidRPr="00FB29CC" w:rsidRDefault="00E70182" w:rsidP="00FB29CC">
      <w:pPr>
        <w:autoSpaceDE w:val="0"/>
        <w:autoSpaceDN w:val="0"/>
        <w:spacing w:after="0" w:line="276" w:lineRule="auto"/>
        <w:ind w:left="60" w:right="20"/>
        <w:jc w:val="both"/>
        <w:rPr>
          <w:rFonts w:ascii="Arial" w:hAnsi="Arial" w:cs="Arial"/>
          <w:sz w:val="24"/>
          <w:szCs w:val="24"/>
          <w:lang w:val="es-CO"/>
        </w:rPr>
      </w:pPr>
      <w:r w:rsidRPr="00FB29CC">
        <w:rPr>
          <w:rFonts w:ascii="Arial" w:eastAsia="Calibri" w:hAnsi="Arial" w:cs="Arial"/>
          <w:color w:val="000000"/>
          <w:sz w:val="24"/>
          <w:szCs w:val="24"/>
          <w:lang w:val="es-CO"/>
        </w:rPr>
        <w:t xml:space="preserve">Michel Taruffo y Carmen Vásquez sostienen que, uno de los mayores aportes de la Corte Suprema de </w:t>
      </w:r>
      <w:r w:rsidR="00FB29CC">
        <w:rPr>
          <w:rFonts w:ascii="Arial" w:eastAsia="Calibri" w:hAnsi="Arial" w:cs="Arial"/>
          <w:color w:val="000000"/>
          <w:sz w:val="24"/>
          <w:szCs w:val="24"/>
          <w:lang w:val="es-CO"/>
        </w:rPr>
        <w:t>Estados Unidos</w:t>
      </w:r>
      <w:r w:rsidRPr="00FB29CC">
        <w:rPr>
          <w:rFonts w:ascii="Arial" w:eastAsia="Calibri" w:hAnsi="Arial" w:cs="Arial"/>
          <w:color w:val="000000"/>
          <w:sz w:val="24"/>
          <w:szCs w:val="24"/>
          <w:lang w:val="es-CO"/>
        </w:rPr>
        <w:t>, es haber señalado que la evidencia aportada debe establecer el “margen de error” de la técnica utiliza</w:t>
      </w:r>
      <w:r w:rsidR="00FB29CC">
        <w:rPr>
          <w:rFonts w:ascii="Arial" w:eastAsia="Calibri" w:hAnsi="Arial" w:cs="Arial"/>
          <w:color w:val="000000"/>
          <w:sz w:val="24"/>
          <w:szCs w:val="24"/>
          <w:lang w:val="es-CO"/>
        </w:rPr>
        <w:t>da, por cuanto ninguna prueba (</w:t>
      </w:r>
      <w:r w:rsidRPr="00FB29CC">
        <w:rPr>
          <w:rFonts w:ascii="Arial" w:eastAsia="Calibri" w:hAnsi="Arial" w:cs="Arial"/>
          <w:color w:val="000000"/>
          <w:sz w:val="24"/>
          <w:szCs w:val="24"/>
          <w:lang w:val="es-CO"/>
        </w:rPr>
        <w:t>ni siquiera la del ADN), arroja certe</w:t>
      </w:r>
      <w:r w:rsidR="00FB29CC">
        <w:rPr>
          <w:rFonts w:ascii="Arial" w:eastAsia="Calibri" w:hAnsi="Arial" w:cs="Arial"/>
          <w:color w:val="000000"/>
          <w:sz w:val="24"/>
          <w:szCs w:val="24"/>
          <w:lang w:val="es-CO"/>
        </w:rPr>
        <w:t xml:space="preserve">za de la ocurrencia de un hecho.  </w:t>
      </w:r>
      <w:r w:rsidRPr="00FB29CC">
        <w:rPr>
          <w:rFonts w:ascii="Arial" w:eastAsia="Calibri" w:hAnsi="Arial" w:cs="Arial"/>
          <w:color w:val="000000"/>
          <w:sz w:val="24"/>
          <w:szCs w:val="24"/>
          <w:lang w:val="es-CO"/>
        </w:rPr>
        <w:t>Siempre se trata de probabilidad de verdad. Los profesores Taruffo y Vásquez muestran con ejemplos, las críticas que se han hecho recientemente en los Estados Unidos, a muchas de las técnicas forenses</w:t>
      </w:r>
      <w:r w:rsidR="00FB29CC">
        <w:rPr>
          <w:rFonts w:ascii="Arial" w:eastAsia="Calibri" w:hAnsi="Arial" w:cs="Arial"/>
          <w:color w:val="000000"/>
          <w:sz w:val="24"/>
          <w:szCs w:val="24"/>
          <w:lang w:val="es-CO"/>
        </w:rPr>
        <w:t xml:space="preserve"> </w:t>
      </w:r>
      <w:r w:rsidRPr="00FB29CC">
        <w:rPr>
          <w:rFonts w:ascii="Arial" w:eastAsia="Calibri" w:hAnsi="Arial" w:cs="Arial"/>
          <w:color w:val="000000"/>
          <w:sz w:val="24"/>
          <w:szCs w:val="24"/>
          <w:lang w:val="es-CO"/>
        </w:rPr>
        <w:t>h</w:t>
      </w:r>
      <w:r w:rsidR="00DC057B">
        <w:rPr>
          <w:rFonts w:ascii="Arial" w:eastAsia="Calibri" w:hAnsi="Arial" w:cs="Arial"/>
          <w:color w:val="000000"/>
          <w:sz w:val="24"/>
          <w:szCs w:val="24"/>
          <w:lang w:val="es-CO"/>
        </w:rPr>
        <w:t>abituales: la prueba dactilar (</w:t>
      </w:r>
      <w:r w:rsidRPr="00FB29CC">
        <w:rPr>
          <w:rFonts w:ascii="Arial" w:eastAsia="Calibri" w:hAnsi="Arial" w:cs="Arial"/>
          <w:color w:val="000000"/>
          <w:sz w:val="24"/>
          <w:szCs w:val="24"/>
          <w:lang w:val="es-CO"/>
        </w:rPr>
        <w:t>huellas), caligrafía, sangre y voz. Son decenas de errores que han sido corroborados en el emp</w:t>
      </w:r>
      <w:r w:rsidR="00DC057B">
        <w:rPr>
          <w:rFonts w:ascii="Arial" w:eastAsia="Calibri" w:hAnsi="Arial" w:cs="Arial"/>
          <w:color w:val="000000"/>
          <w:sz w:val="24"/>
          <w:szCs w:val="24"/>
          <w:lang w:val="es-CO"/>
        </w:rPr>
        <w:t xml:space="preserve">leo de estas prácticas forenses ocasionados principalmente </w:t>
      </w:r>
      <w:r w:rsidRPr="00FB29CC">
        <w:rPr>
          <w:rFonts w:ascii="Arial" w:eastAsia="Calibri" w:hAnsi="Arial" w:cs="Arial"/>
          <w:color w:val="000000"/>
          <w:sz w:val="24"/>
          <w:szCs w:val="24"/>
          <w:lang w:val="es-CO"/>
        </w:rPr>
        <w:t>porque no existe una ciencia consolidada detrás de ellas (no hay una ciencia de las huellas). Cosa que no ocurre con el ADN, detrás de la cual está la genética.</w:t>
      </w:r>
    </w:p>
    <w:p w14:paraId="2196BBDA" w14:textId="77777777" w:rsidR="00E70182" w:rsidRPr="00FB29CC" w:rsidRDefault="00E70182" w:rsidP="00E70182">
      <w:pPr>
        <w:autoSpaceDE w:val="0"/>
        <w:autoSpaceDN w:val="0"/>
        <w:spacing w:after="0" w:line="298" w:lineRule="exact"/>
        <w:jc w:val="both"/>
        <w:rPr>
          <w:rFonts w:ascii="Arial" w:eastAsia="SimSun" w:hAnsi="Arial" w:cs="Arial"/>
          <w:color w:val="000000"/>
          <w:sz w:val="24"/>
          <w:szCs w:val="24"/>
          <w:lang w:val="es-CO"/>
        </w:rPr>
      </w:pPr>
    </w:p>
    <w:p w14:paraId="2EB16952" w14:textId="77777777" w:rsidR="00E70182" w:rsidRPr="00FB29CC" w:rsidRDefault="00E70182" w:rsidP="00E70182">
      <w:pPr>
        <w:autoSpaceDE w:val="0"/>
        <w:autoSpaceDN w:val="0"/>
        <w:spacing w:after="0" w:line="298" w:lineRule="exact"/>
        <w:jc w:val="both"/>
        <w:rPr>
          <w:rFonts w:ascii="Arial" w:eastAsia="SimSun" w:hAnsi="Arial" w:cs="Arial"/>
          <w:color w:val="000000"/>
          <w:sz w:val="24"/>
          <w:szCs w:val="24"/>
          <w:lang w:val="es-CO"/>
        </w:rPr>
      </w:pPr>
    </w:p>
    <w:p w14:paraId="6722416F" w14:textId="77777777" w:rsidR="00E70182" w:rsidRPr="00FB29CC" w:rsidRDefault="00E70182" w:rsidP="00E70182">
      <w:pPr>
        <w:autoSpaceDE w:val="0"/>
        <w:autoSpaceDN w:val="0"/>
        <w:spacing w:after="0" w:line="423" w:lineRule="exact"/>
        <w:ind w:firstLine="520"/>
        <w:jc w:val="both"/>
        <w:rPr>
          <w:rFonts w:ascii="Arial" w:hAnsi="Arial" w:cs="Arial"/>
          <w:sz w:val="24"/>
          <w:szCs w:val="24"/>
          <w:lang w:val="es-CO"/>
        </w:rPr>
      </w:pPr>
      <w:r w:rsidRPr="00FB29CC">
        <w:rPr>
          <w:rFonts w:ascii="Arial" w:eastAsia="Calibri" w:hAnsi="Arial" w:cs="Arial"/>
          <w:color w:val="000000"/>
          <w:sz w:val="24"/>
          <w:szCs w:val="24"/>
          <w:lang w:val="es-CO"/>
        </w:rPr>
        <w:t>4. LA ACEPTACION DE LA TECNICA EN LA COMUNIDAD EXPERTA</w:t>
      </w:r>
    </w:p>
    <w:p w14:paraId="28352694" w14:textId="77777777" w:rsidR="00E70182" w:rsidRPr="00FB29CC" w:rsidRDefault="00E70182" w:rsidP="00E70182">
      <w:pPr>
        <w:autoSpaceDE w:val="0"/>
        <w:autoSpaceDN w:val="0"/>
        <w:spacing w:after="0" w:line="298" w:lineRule="exact"/>
        <w:jc w:val="both"/>
        <w:rPr>
          <w:rFonts w:ascii="Arial" w:eastAsia="SimSun" w:hAnsi="Arial" w:cs="Arial"/>
          <w:color w:val="000000"/>
          <w:sz w:val="24"/>
          <w:szCs w:val="24"/>
          <w:lang w:val="es-CO"/>
        </w:rPr>
      </w:pPr>
    </w:p>
    <w:p w14:paraId="1A15BAC8" w14:textId="77777777" w:rsidR="00E70182" w:rsidRPr="00FB29CC" w:rsidRDefault="00E70182" w:rsidP="00E70182">
      <w:pPr>
        <w:autoSpaceDE w:val="0"/>
        <w:autoSpaceDN w:val="0"/>
        <w:spacing w:after="0" w:line="298" w:lineRule="exact"/>
        <w:jc w:val="both"/>
        <w:rPr>
          <w:rFonts w:ascii="Arial" w:eastAsia="SimSun" w:hAnsi="Arial" w:cs="Arial"/>
          <w:color w:val="000000"/>
          <w:sz w:val="24"/>
          <w:szCs w:val="24"/>
          <w:lang w:val="es-CO"/>
        </w:rPr>
      </w:pPr>
    </w:p>
    <w:p w14:paraId="4EAB5B47" w14:textId="77777777" w:rsidR="00E70182" w:rsidRPr="00FB29CC" w:rsidRDefault="00E70182" w:rsidP="00E70182">
      <w:pPr>
        <w:autoSpaceDE w:val="0"/>
        <w:autoSpaceDN w:val="0"/>
        <w:spacing w:after="0" w:line="343" w:lineRule="exact"/>
        <w:ind w:left="80" w:right="60"/>
        <w:jc w:val="both"/>
        <w:rPr>
          <w:rFonts w:ascii="Arial" w:hAnsi="Arial" w:cs="Arial"/>
          <w:sz w:val="24"/>
          <w:szCs w:val="24"/>
          <w:lang w:val="es-CO"/>
        </w:rPr>
      </w:pPr>
      <w:r w:rsidRPr="00FB29CC">
        <w:rPr>
          <w:rFonts w:ascii="Arial" w:eastAsia="Calibri" w:hAnsi="Arial" w:cs="Arial"/>
          <w:color w:val="000000"/>
          <w:sz w:val="24"/>
          <w:szCs w:val="24"/>
          <w:lang w:val="es-CO"/>
        </w:rPr>
        <w:t>Este elemento está muy vinculado a un concepto contemporáneo: la verdad como coherencia.</w:t>
      </w:r>
      <w:r w:rsidR="009C60FD">
        <w:rPr>
          <w:rFonts w:ascii="Arial" w:eastAsia="Calibri" w:hAnsi="Arial" w:cs="Arial"/>
          <w:color w:val="000000"/>
          <w:sz w:val="24"/>
          <w:szCs w:val="24"/>
          <w:lang w:val="es-CO"/>
        </w:rPr>
        <w:t xml:space="preserve"> </w:t>
      </w:r>
      <w:r w:rsidRPr="00FB29CC">
        <w:rPr>
          <w:rFonts w:ascii="Arial" w:eastAsia="Calibri" w:hAnsi="Arial" w:cs="Arial"/>
          <w:color w:val="000000"/>
          <w:sz w:val="24"/>
          <w:szCs w:val="24"/>
          <w:lang w:val="es-CO"/>
        </w:rPr>
        <w:t>A diferencia del criterio de adecuación tradicional</w:t>
      </w:r>
      <w:r w:rsidR="009C60FD">
        <w:rPr>
          <w:rFonts w:ascii="Arial" w:eastAsia="Calibri" w:hAnsi="Arial" w:cs="Arial"/>
          <w:color w:val="000000"/>
          <w:sz w:val="24"/>
          <w:szCs w:val="24"/>
          <w:lang w:val="es-CO"/>
        </w:rPr>
        <w:t xml:space="preserve"> </w:t>
      </w:r>
      <w:r w:rsidRPr="00FB29CC">
        <w:rPr>
          <w:rFonts w:ascii="Arial" w:eastAsia="Calibri" w:hAnsi="Arial" w:cs="Arial"/>
          <w:color w:val="000000"/>
          <w:sz w:val="24"/>
          <w:szCs w:val="24"/>
          <w:lang w:val="es-CO"/>
        </w:rPr>
        <w:t xml:space="preserve">en el cual un </w:t>
      </w:r>
      <w:r w:rsidRPr="00FB29CC">
        <w:rPr>
          <w:rFonts w:ascii="Arial" w:eastAsia="Calibri" w:hAnsi="Arial" w:cs="Arial"/>
          <w:color w:val="000000"/>
          <w:sz w:val="24"/>
          <w:szCs w:val="24"/>
          <w:lang w:val="es-CO"/>
        </w:rPr>
        <w:lastRenderedPageBreak/>
        <w:t>enunciado es v</w:t>
      </w:r>
      <w:r w:rsidR="009C60FD">
        <w:rPr>
          <w:rFonts w:ascii="Arial" w:eastAsia="Calibri" w:hAnsi="Arial" w:cs="Arial"/>
          <w:color w:val="000000"/>
          <w:sz w:val="24"/>
          <w:szCs w:val="24"/>
          <w:lang w:val="es-CO"/>
        </w:rPr>
        <w:t>erdadero cuando es un reflejo (</w:t>
      </w:r>
      <w:r w:rsidRPr="00FB29CC">
        <w:rPr>
          <w:rFonts w:ascii="Arial" w:eastAsia="Calibri" w:hAnsi="Arial" w:cs="Arial"/>
          <w:color w:val="000000"/>
          <w:sz w:val="24"/>
          <w:szCs w:val="24"/>
          <w:lang w:val="es-CO"/>
        </w:rPr>
        <w:t>un espejo) de la realidad, la “verdad” se obtiene por la coherencia de la proposición con las otras ramas del pensamiento que se ocupan de la misma materia, y con el sistema conceptual en el cual se encuentra. Las relaciones entre los elementos de un sistema no pueden ser contradictorios. Todo debe encajar en un engranaje mayor. Cuan</w:t>
      </w:r>
      <w:r w:rsidR="009C60FD">
        <w:rPr>
          <w:rFonts w:ascii="Arial" w:eastAsia="Calibri" w:hAnsi="Arial" w:cs="Arial"/>
          <w:color w:val="000000"/>
          <w:sz w:val="24"/>
          <w:szCs w:val="24"/>
          <w:lang w:val="es-CO"/>
        </w:rPr>
        <w:t>do el enunciado es compatible (</w:t>
      </w:r>
      <w:r w:rsidRPr="00FB29CC">
        <w:rPr>
          <w:rFonts w:ascii="Arial" w:eastAsia="Calibri" w:hAnsi="Arial" w:cs="Arial"/>
          <w:color w:val="000000"/>
          <w:sz w:val="24"/>
          <w:szCs w:val="24"/>
          <w:lang w:val="es-CO"/>
        </w:rPr>
        <w:t>coherente y no contradictorio) con muchos de los criterios que se manejan en la comunidad de expertos.</w:t>
      </w:r>
      <w:r w:rsidR="009C60FD">
        <w:rPr>
          <w:rFonts w:ascii="Arial" w:eastAsia="Calibri" w:hAnsi="Arial" w:cs="Arial"/>
          <w:color w:val="000000"/>
          <w:sz w:val="24"/>
          <w:szCs w:val="24"/>
          <w:lang w:val="es-CO"/>
        </w:rPr>
        <w:t xml:space="preserve"> </w:t>
      </w:r>
      <w:r w:rsidRPr="00FB29CC">
        <w:rPr>
          <w:rFonts w:ascii="Arial" w:eastAsia="Calibri" w:hAnsi="Arial" w:cs="Arial"/>
          <w:color w:val="000000"/>
          <w:sz w:val="24"/>
          <w:szCs w:val="24"/>
          <w:lang w:val="es-CO"/>
        </w:rPr>
        <w:t>La crítica que se hace, es la dificultad en determinar</w:t>
      </w:r>
      <w:r w:rsidR="009C60FD">
        <w:rPr>
          <w:rFonts w:ascii="Arial" w:eastAsia="Calibri" w:hAnsi="Arial" w:cs="Arial"/>
          <w:color w:val="000000"/>
          <w:sz w:val="24"/>
          <w:szCs w:val="24"/>
          <w:lang w:val="es-CO"/>
        </w:rPr>
        <w:t xml:space="preserve"> ¿</w:t>
      </w:r>
      <w:r w:rsidRPr="00FB29CC">
        <w:rPr>
          <w:rFonts w:ascii="Arial" w:eastAsia="Calibri" w:hAnsi="Arial" w:cs="Arial"/>
          <w:color w:val="000000"/>
          <w:sz w:val="24"/>
          <w:szCs w:val="24"/>
          <w:lang w:val="es-CO"/>
        </w:rPr>
        <w:t>qué es una comunidad de expertos? La posmodernidad en que vivimos, es caracterizada precisamente, por la fragmentación de los discursos y las disciplinas.</w:t>
      </w:r>
    </w:p>
    <w:p w14:paraId="1ED99DB8" w14:textId="77777777" w:rsidR="00E70182" w:rsidRPr="00FB29CC" w:rsidRDefault="00E70182" w:rsidP="00E70182">
      <w:pPr>
        <w:autoSpaceDE w:val="0"/>
        <w:autoSpaceDN w:val="0"/>
        <w:spacing w:after="0" w:line="298" w:lineRule="exact"/>
        <w:jc w:val="both"/>
        <w:rPr>
          <w:rFonts w:ascii="Arial" w:eastAsia="SimSun" w:hAnsi="Arial" w:cs="Arial"/>
          <w:color w:val="000000"/>
          <w:sz w:val="24"/>
          <w:szCs w:val="24"/>
          <w:lang w:val="es-CO"/>
        </w:rPr>
      </w:pPr>
    </w:p>
    <w:p w14:paraId="1D84570A" w14:textId="77777777" w:rsidR="00E70182" w:rsidRPr="00FB29CC" w:rsidRDefault="00E70182" w:rsidP="00E70182">
      <w:pPr>
        <w:autoSpaceDE w:val="0"/>
        <w:autoSpaceDN w:val="0"/>
        <w:spacing w:after="0" w:line="298" w:lineRule="exact"/>
        <w:jc w:val="both"/>
        <w:rPr>
          <w:rFonts w:ascii="Arial" w:eastAsia="SimSun" w:hAnsi="Arial" w:cs="Arial"/>
          <w:color w:val="000000"/>
          <w:sz w:val="24"/>
          <w:szCs w:val="24"/>
          <w:lang w:val="es-CO"/>
        </w:rPr>
      </w:pPr>
    </w:p>
    <w:p w14:paraId="790BE123" w14:textId="77777777" w:rsidR="00E70182" w:rsidRPr="00FB29CC" w:rsidRDefault="00E70182" w:rsidP="00E70182">
      <w:pPr>
        <w:autoSpaceDE w:val="0"/>
        <w:autoSpaceDN w:val="0"/>
        <w:spacing w:after="0" w:line="298" w:lineRule="exact"/>
        <w:jc w:val="both"/>
        <w:rPr>
          <w:rFonts w:ascii="Arial" w:eastAsia="SimSun" w:hAnsi="Arial" w:cs="Arial"/>
          <w:color w:val="000000"/>
          <w:sz w:val="24"/>
          <w:szCs w:val="24"/>
          <w:lang w:val="es-CO"/>
        </w:rPr>
      </w:pPr>
    </w:p>
    <w:p w14:paraId="57C8F8FE" w14:textId="77777777" w:rsidR="00E70182" w:rsidRPr="00FB29CC" w:rsidRDefault="00E70182" w:rsidP="00E70182">
      <w:pPr>
        <w:autoSpaceDE w:val="0"/>
        <w:autoSpaceDN w:val="0"/>
        <w:spacing w:after="0" w:line="298" w:lineRule="exact"/>
        <w:jc w:val="both"/>
        <w:rPr>
          <w:rFonts w:ascii="Arial" w:eastAsia="SimSun" w:hAnsi="Arial" w:cs="Arial"/>
          <w:color w:val="000000"/>
          <w:sz w:val="24"/>
          <w:szCs w:val="24"/>
          <w:lang w:val="es-CO"/>
        </w:rPr>
      </w:pPr>
    </w:p>
    <w:p w14:paraId="54051D16" w14:textId="77777777" w:rsidR="00E70182" w:rsidRPr="00F62287" w:rsidRDefault="00E70182" w:rsidP="00E70182">
      <w:pPr>
        <w:autoSpaceDE w:val="0"/>
        <w:autoSpaceDN w:val="0"/>
        <w:spacing w:after="0" w:line="306" w:lineRule="exact"/>
        <w:jc w:val="both"/>
        <w:rPr>
          <w:rFonts w:ascii="Arial" w:hAnsi="Arial" w:cs="Arial"/>
          <w:b/>
          <w:sz w:val="24"/>
          <w:szCs w:val="24"/>
          <w:lang w:val="es-CO"/>
        </w:rPr>
      </w:pPr>
      <w:r w:rsidRPr="00F62287">
        <w:rPr>
          <w:rFonts w:ascii="Arial" w:eastAsia="Calibri" w:hAnsi="Arial" w:cs="Arial"/>
          <w:b/>
          <w:color w:val="000000"/>
          <w:sz w:val="24"/>
          <w:szCs w:val="24"/>
          <w:lang w:val="es-CO"/>
        </w:rPr>
        <w:t>CONCLUSIONES Y PROPUESTAS</w:t>
      </w:r>
    </w:p>
    <w:p w14:paraId="6339B5A6" w14:textId="77777777" w:rsidR="00E70182" w:rsidRPr="00FB29CC" w:rsidRDefault="00E70182" w:rsidP="00E70182">
      <w:pPr>
        <w:autoSpaceDE w:val="0"/>
        <w:autoSpaceDN w:val="0"/>
        <w:spacing w:after="0" w:line="298" w:lineRule="exact"/>
        <w:jc w:val="both"/>
        <w:rPr>
          <w:rFonts w:ascii="Arial" w:eastAsia="SimSun" w:hAnsi="Arial" w:cs="Arial"/>
          <w:color w:val="000000"/>
          <w:sz w:val="24"/>
          <w:szCs w:val="24"/>
          <w:lang w:val="es-CO"/>
        </w:rPr>
      </w:pPr>
    </w:p>
    <w:p w14:paraId="37FA8748" w14:textId="77777777" w:rsidR="00E70182" w:rsidRPr="00FB29CC" w:rsidRDefault="00E70182" w:rsidP="00E70182">
      <w:pPr>
        <w:autoSpaceDE w:val="0"/>
        <w:autoSpaceDN w:val="0"/>
        <w:spacing w:after="0" w:line="298" w:lineRule="exact"/>
        <w:jc w:val="both"/>
        <w:rPr>
          <w:rFonts w:ascii="Arial" w:eastAsia="SimSun" w:hAnsi="Arial" w:cs="Arial"/>
          <w:color w:val="000000"/>
          <w:sz w:val="24"/>
          <w:szCs w:val="24"/>
          <w:lang w:val="es-CO"/>
        </w:rPr>
      </w:pPr>
    </w:p>
    <w:p w14:paraId="2124B72A" w14:textId="77777777" w:rsidR="00E70182" w:rsidRPr="00F62287" w:rsidRDefault="00E70182" w:rsidP="00F62287">
      <w:pPr>
        <w:autoSpaceDE w:val="0"/>
        <w:autoSpaceDN w:val="0"/>
        <w:spacing w:after="0" w:line="276" w:lineRule="auto"/>
        <w:ind w:right="60"/>
        <w:jc w:val="both"/>
        <w:rPr>
          <w:rFonts w:ascii="Arial" w:eastAsia="Calibri" w:hAnsi="Arial" w:cs="Arial"/>
          <w:color w:val="000000"/>
          <w:sz w:val="24"/>
          <w:szCs w:val="24"/>
          <w:lang w:val="es-CO"/>
        </w:rPr>
      </w:pPr>
      <w:r w:rsidRPr="00F62287">
        <w:rPr>
          <w:rFonts w:ascii="Arial" w:eastAsia="Calibri" w:hAnsi="Arial" w:cs="Arial"/>
          <w:color w:val="000000"/>
          <w:sz w:val="24"/>
          <w:szCs w:val="24"/>
          <w:lang w:val="es-CO"/>
        </w:rPr>
        <w:t>A</w:t>
      </w:r>
      <w:r w:rsidR="00F62287" w:rsidRPr="00F62287">
        <w:rPr>
          <w:rFonts w:ascii="Arial" w:eastAsia="Calibri" w:hAnsi="Arial" w:cs="Arial"/>
          <w:color w:val="000000"/>
          <w:sz w:val="24"/>
          <w:szCs w:val="24"/>
          <w:lang w:val="es-CO"/>
        </w:rPr>
        <w:t xml:space="preserve"> </w:t>
      </w:r>
      <w:r w:rsidRPr="00F62287">
        <w:rPr>
          <w:rFonts w:ascii="Arial" w:eastAsia="Calibri" w:hAnsi="Arial" w:cs="Arial"/>
          <w:color w:val="000000"/>
          <w:sz w:val="24"/>
          <w:szCs w:val="24"/>
          <w:lang w:val="es-CO"/>
        </w:rPr>
        <w:t>pesar de las diferencias, las diversas perspectivas coinciden en que el criterio de la “demarcación", es decir, los elementos que nos ayudan a delimitar la “ciencia de la no ciencia”, es indispensable para que una prueba tenga validez.</w:t>
      </w:r>
      <w:r w:rsidR="00F62287">
        <w:rPr>
          <w:rFonts w:ascii="Arial" w:eastAsia="Calibri" w:hAnsi="Arial" w:cs="Arial"/>
          <w:color w:val="000000"/>
          <w:sz w:val="24"/>
          <w:szCs w:val="24"/>
          <w:lang w:val="es-CO"/>
        </w:rPr>
        <w:t xml:space="preserve"> </w:t>
      </w:r>
      <w:r w:rsidRPr="00F62287">
        <w:rPr>
          <w:rFonts w:ascii="Arial" w:eastAsia="Calibri" w:hAnsi="Arial" w:cs="Arial"/>
          <w:color w:val="000000"/>
          <w:sz w:val="24"/>
          <w:szCs w:val="24"/>
          <w:lang w:val="es-CO"/>
        </w:rPr>
        <w:t>Si no alcanza los estándares, simplemente, como dice Taruffo, no es prueba.</w:t>
      </w:r>
    </w:p>
    <w:p w14:paraId="18939037" w14:textId="77777777" w:rsidR="00E70182" w:rsidRPr="00FB29CC" w:rsidRDefault="00E70182" w:rsidP="00F62287">
      <w:pPr>
        <w:autoSpaceDE w:val="0"/>
        <w:autoSpaceDN w:val="0"/>
        <w:spacing w:after="0" w:line="276" w:lineRule="auto"/>
        <w:jc w:val="both"/>
        <w:rPr>
          <w:rFonts w:ascii="Arial" w:eastAsia="SimSun" w:hAnsi="Arial" w:cs="Arial"/>
          <w:color w:val="000000"/>
          <w:sz w:val="24"/>
          <w:szCs w:val="24"/>
          <w:lang w:val="es-CO"/>
        </w:rPr>
      </w:pPr>
    </w:p>
    <w:p w14:paraId="70104C2B" w14:textId="77777777" w:rsidR="00E70182" w:rsidRPr="00FB29CC" w:rsidRDefault="00E70182" w:rsidP="00E70182">
      <w:pPr>
        <w:autoSpaceDE w:val="0"/>
        <w:autoSpaceDN w:val="0"/>
        <w:spacing w:after="0" w:line="298" w:lineRule="exact"/>
        <w:jc w:val="both"/>
        <w:rPr>
          <w:rFonts w:ascii="Arial" w:eastAsia="SimSun" w:hAnsi="Arial" w:cs="Arial"/>
          <w:color w:val="000000"/>
          <w:sz w:val="24"/>
          <w:szCs w:val="24"/>
          <w:lang w:val="es-CO"/>
        </w:rPr>
      </w:pPr>
    </w:p>
    <w:p w14:paraId="3C4704AF" w14:textId="77777777" w:rsidR="00E70182" w:rsidRPr="00FB29CC" w:rsidRDefault="00E70182" w:rsidP="00F62287">
      <w:pPr>
        <w:autoSpaceDE w:val="0"/>
        <w:autoSpaceDN w:val="0"/>
        <w:spacing w:after="0" w:line="401" w:lineRule="exact"/>
        <w:ind w:right="60"/>
        <w:jc w:val="both"/>
        <w:rPr>
          <w:rFonts w:ascii="Arial" w:hAnsi="Arial" w:cs="Arial"/>
          <w:sz w:val="24"/>
          <w:szCs w:val="24"/>
          <w:lang w:val="es-CO"/>
        </w:rPr>
      </w:pPr>
      <w:r w:rsidRPr="00FB29CC">
        <w:rPr>
          <w:rFonts w:ascii="Arial" w:eastAsia="Calibri" w:hAnsi="Arial" w:cs="Arial"/>
          <w:color w:val="000000"/>
          <w:sz w:val="24"/>
          <w:szCs w:val="24"/>
          <w:lang w:val="es-CO"/>
        </w:rPr>
        <w:t>La técnica que no pueda ser “verificada” o “corroborada”</w:t>
      </w:r>
      <w:r w:rsidR="00F62287">
        <w:rPr>
          <w:rFonts w:ascii="Arial" w:eastAsia="Calibri" w:hAnsi="Arial" w:cs="Arial"/>
          <w:color w:val="000000"/>
          <w:sz w:val="24"/>
          <w:szCs w:val="24"/>
          <w:lang w:val="es-CO"/>
        </w:rPr>
        <w:t xml:space="preserve"> </w:t>
      </w:r>
      <w:r w:rsidRPr="00FB29CC">
        <w:rPr>
          <w:rFonts w:ascii="Arial" w:eastAsia="Calibri" w:hAnsi="Arial" w:cs="Arial"/>
          <w:color w:val="000000"/>
          <w:sz w:val="24"/>
          <w:szCs w:val="24"/>
          <w:lang w:val="es-CO"/>
        </w:rPr>
        <w:t>empíricamente,</w:t>
      </w:r>
      <w:r w:rsidR="00F62287">
        <w:rPr>
          <w:rFonts w:ascii="Arial" w:eastAsia="Calibri" w:hAnsi="Arial" w:cs="Arial"/>
          <w:color w:val="000000"/>
          <w:sz w:val="24"/>
          <w:szCs w:val="24"/>
          <w:lang w:val="es-CO"/>
        </w:rPr>
        <w:t xml:space="preserve"> </w:t>
      </w:r>
      <w:r w:rsidRPr="00FB29CC">
        <w:rPr>
          <w:rFonts w:ascii="Arial" w:eastAsia="Calibri" w:hAnsi="Arial" w:cs="Arial"/>
          <w:color w:val="000000"/>
          <w:sz w:val="24"/>
          <w:szCs w:val="24"/>
          <w:lang w:val="es-CO"/>
        </w:rPr>
        <w:t>no es científica.</w:t>
      </w:r>
      <w:r w:rsidR="00F62287">
        <w:rPr>
          <w:rFonts w:ascii="Arial" w:eastAsia="Calibri" w:hAnsi="Arial" w:cs="Arial"/>
          <w:color w:val="000000"/>
          <w:sz w:val="24"/>
          <w:szCs w:val="24"/>
          <w:lang w:val="es-CO"/>
        </w:rPr>
        <w:t xml:space="preserve"> </w:t>
      </w:r>
      <w:r w:rsidRPr="00FB29CC">
        <w:rPr>
          <w:rFonts w:ascii="Arial" w:eastAsia="Calibri" w:hAnsi="Arial" w:cs="Arial"/>
          <w:color w:val="000000"/>
          <w:sz w:val="24"/>
          <w:szCs w:val="24"/>
          <w:lang w:val="es-CO"/>
        </w:rPr>
        <w:t>Es un enunciado metafísico sin valor probatorio (Taruffo).</w:t>
      </w:r>
    </w:p>
    <w:p w14:paraId="0B8B792E" w14:textId="77777777" w:rsidR="00E70182" w:rsidRPr="00FB29CC" w:rsidRDefault="00E70182" w:rsidP="00E70182">
      <w:pPr>
        <w:autoSpaceDE w:val="0"/>
        <w:autoSpaceDN w:val="0"/>
        <w:spacing w:after="0" w:line="298" w:lineRule="exact"/>
        <w:jc w:val="both"/>
        <w:rPr>
          <w:rFonts w:ascii="Arial" w:eastAsia="SimSun" w:hAnsi="Arial" w:cs="Arial"/>
          <w:color w:val="000000"/>
          <w:sz w:val="24"/>
          <w:szCs w:val="24"/>
          <w:lang w:val="es-CO"/>
        </w:rPr>
      </w:pPr>
    </w:p>
    <w:p w14:paraId="00B497C1" w14:textId="77777777" w:rsidR="00E70182" w:rsidRPr="00FB29CC" w:rsidRDefault="00E70182" w:rsidP="00F62287">
      <w:pPr>
        <w:autoSpaceDE w:val="0"/>
        <w:autoSpaceDN w:val="0"/>
        <w:spacing w:after="0" w:line="390" w:lineRule="exact"/>
        <w:ind w:right="60"/>
        <w:jc w:val="both"/>
        <w:rPr>
          <w:rFonts w:ascii="Arial" w:hAnsi="Arial" w:cs="Arial"/>
          <w:sz w:val="24"/>
          <w:szCs w:val="24"/>
          <w:lang w:val="es-CO"/>
        </w:rPr>
      </w:pPr>
      <w:r w:rsidRPr="00FB29CC">
        <w:rPr>
          <w:rFonts w:ascii="Arial" w:eastAsia="Calibri" w:hAnsi="Arial" w:cs="Arial"/>
          <w:color w:val="000000"/>
          <w:sz w:val="24"/>
          <w:szCs w:val="24"/>
          <w:lang w:val="es-CO"/>
        </w:rPr>
        <w:t>Es necesario examinar toda la supuesta “evidencia científica” que ha invocado la Corte Constitucional de Colombia, para analizarla desde la perspectiva de</w:t>
      </w:r>
      <w:r w:rsidR="00F62287">
        <w:rPr>
          <w:rFonts w:ascii="Arial" w:eastAsia="Calibri" w:hAnsi="Arial" w:cs="Arial"/>
          <w:color w:val="000000"/>
          <w:sz w:val="24"/>
          <w:szCs w:val="24"/>
          <w:lang w:val="es-CO"/>
        </w:rPr>
        <w:t xml:space="preserve"> </w:t>
      </w:r>
      <w:r w:rsidRPr="00FB29CC">
        <w:rPr>
          <w:rFonts w:ascii="Arial" w:eastAsia="Calibri" w:hAnsi="Arial" w:cs="Arial"/>
          <w:color w:val="000000"/>
          <w:sz w:val="24"/>
          <w:szCs w:val="24"/>
          <w:lang w:val="es-CO"/>
        </w:rPr>
        <w:t xml:space="preserve">los estándares internacionales (principalmente los del caso </w:t>
      </w:r>
      <w:proofErr w:type="spellStart"/>
      <w:r w:rsidRPr="00FB29CC">
        <w:rPr>
          <w:rFonts w:ascii="Arial" w:eastAsia="Calibri" w:hAnsi="Arial" w:cs="Arial"/>
          <w:color w:val="000000"/>
          <w:sz w:val="24"/>
          <w:szCs w:val="24"/>
          <w:lang w:val="es-CO"/>
        </w:rPr>
        <w:t>Daubert</w:t>
      </w:r>
      <w:proofErr w:type="spellEnd"/>
      <w:r w:rsidRPr="00FB29CC">
        <w:rPr>
          <w:rFonts w:ascii="Arial" w:eastAsia="Calibri" w:hAnsi="Arial" w:cs="Arial"/>
          <w:color w:val="000000"/>
          <w:sz w:val="24"/>
          <w:szCs w:val="24"/>
          <w:lang w:val="es-CO"/>
        </w:rPr>
        <w:t>):</w:t>
      </w:r>
      <w:r w:rsidR="00F62287">
        <w:rPr>
          <w:rFonts w:ascii="Arial" w:eastAsia="Calibri" w:hAnsi="Arial" w:cs="Arial"/>
          <w:color w:val="000000"/>
          <w:sz w:val="24"/>
          <w:szCs w:val="24"/>
          <w:lang w:val="es-CO"/>
        </w:rPr>
        <w:t xml:space="preserve"> </w:t>
      </w:r>
      <w:r w:rsidRPr="00FB29CC">
        <w:rPr>
          <w:rFonts w:ascii="Arial" w:eastAsia="Calibri" w:hAnsi="Arial" w:cs="Arial"/>
          <w:color w:val="000000"/>
          <w:sz w:val="24"/>
          <w:szCs w:val="24"/>
          <w:lang w:val="es-CO"/>
        </w:rPr>
        <w:t>verificación empírica, publicación en revistas científicas, margen de error y aceptación de la comunidad de expertos. Un examen preliminar de los precedentes de la C</w:t>
      </w:r>
      <w:r w:rsidR="00F62287">
        <w:rPr>
          <w:rFonts w:ascii="Arial" w:eastAsia="Calibri" w:hAnsi="Arial" w:cs="Arial"/>
          <w:color w:val="000000"/>
          <w:sz w:val="24"/>
          <w:szCs w:val="24"/>
          <w:lang w:val="es-CO"/>
        </w:rPr>
        <w:t>orte Constitucional, muestran al parecer</w:t>
      </w:r>
      <w:r w:rsidRPr="00FB29CC">
        <w:rPr>
          <w:rFonts w:ascii="Arial" w:eastAsia="Calibri" w:hAnsi="Arial" w:cs="Arial"/>
          <w:color w:val="000000"/>
          <w:sz w:val="24"/>
          <w:szCs w:val="24"/>
          <w:lang w:val="es-CO"/>
        </w:rPr>
        <w:t xml:space="preserve"> que no cumplen esos estándares.</w:t>
      </w:r>
    </w:p>
    <w:p w14:paraId="2B2E89E0" w14:textId="77777777" w:rsidR="00E70182" w:rsidRPr="00FB29CC" w:rsidRDefault="00E70182" w:rsidP="00E70182">
      <w:pPr>
        <w:autoSpaceDE w:val="0"/>
        <w:autoSpaceDN w:val="0"/>
        <w:spacing w:after="0" w:line="272" w:lineRule="exact"/>
        <w:jc w:val="both"/>
        <w:rPr>
          <w:rFonts w:ascii="Arial" w:eastAsia="SimSun" w:hAnsi="Arial" w:cs="Arial"/>
          <w:color w:val="000000"/>
          <w:sz w:val="24"/>
          <w:szCs w:val="24"/>
          <w:lang w:val="es-CO"/>
        </w:rPr>
      </w:pPr>
    </w:p>
    <w:p w14:paraId="336C2A26" w14:textId="77777777" w:rsidR="00E70182" w:rsidRPr="00FB29CC" w:rsidRDefault="00E70182" w:rsidP="00F62287">
      <w:pPr>
        <w:autoSpaceDE w:val="0"/>
        <w:autoSpaceDN w:val="0"/>
        <w:spacing w:after="0" w:line="349" w:lineRule="exact"/>
        <w:ind w:right="40"/>
        <w:jc w:val="both"/>
        <w:rPr>
          <w:rFonts w:ascii="Arial" w:hAnsi="Arial" w:cs="Arial"/>
          <w:sz w:val="24"/>
          <w:szCs w:val="24"/>
          <w:lang w:val="es-CO"/>
        </w:rPr>
      </w:pPr>
      <w:r w:rsidRPr="00FB29CC">
        <w:rPr>
          <w:rFonts w:ascii="Arial" w:eastAsia="Calibri" w:hAnsi="Arial" w:cs="Arial"/>
          <w:color w:val="000000"/>
          <w:sz w:val="24"/>
          <w:szCs w:val="24"/>
          <w:lang w:val="es-CO"/>
        </w:rPr>
        <w:t xml:space="preserve">Cualquier evidencia nueva que se </w:t>
      </w:r>
      <w:r w:rsidR="00F62287" w:rsidRPr="00FB29CC">
        <w:rPr>
          <w:rFonts w:ascii="Arial" w:eastAsia="Calibri" w:hAnsi="Arial" w:cs="Arial"/>
          <w:color w:val="000000"/>
          <w:sz w:val="24"/>
          <w:szCs w:val="24"/>
          <w:lang w:val="es-CO"/>
        </w:rPr>
        <w:t>practique</w:t>
      </w:r>
      <w:r w:rsidRPr="00FB29CC">
        <w:rPr>
          <w:rFonts w:ascii="Arial" w:eastAsia="Calibri" w:hAnsi="Arial" w:cs="Arial"/>
          <w:color w:val="000000"/>
          <w:sz w:val="24"/>
          <w:szCs w:val="24"/>
          <w:lang w:val="es-CO"/>
        </w:rPr>
        <w:t xml:space="preserve"> en torno a los eventuales daños que puede producir la aspersión con glifosato, debe hacerse a la luz de los estándares internacionales de la prueba científica.</w:t>
      </w:r>
    </w:p>
    <w:p w14:paraId="5799B5A1" w14:textId="77777777" w:rsidR="00E70182" w:rsidRPr="00FB29CC" w:rsidRDefault="00E70182" w:rsidP="00E70182">
      <w:pPr>
        <w:autoSpaceDE w:val="0"/>
        <w:autoSpaceDN w:val="0"/>
        <w:spacing w:after="0" w:line="272" w:lineRule="exact"/>
        <w:jc w:val="both"/>
        <w:rPr>
          <w:rFonts w:ascii="Arial" w:eastAsia="SimSun" w:hAnsi="Arial" w:cs="Arial"/>
          <w:color w:val="000000"/>
          <w:sz w:val="24"/>
          <w:szCs w:val="24"/>
          <w:lang w:val="es-CO"/>
        </w:rPr>
      </w:pPr>
    </w:p>
    <w:p w14:paraId="3ED9BE10" w14:textId="77777777" w:rsidR="00E70182" w:rsidRPr="00FB29CC" w:rsidRDefault="00E70182" w:rsidP="00E70182">
      <w:pPr>
        <w:autoSpaceDE w:val="0"/>
        <w:autoSpaceDN w:val="0"/>
        <w:spacing w:after="0" w:line="272" w:lineRule="exact"/>
        <w:jc w:val="both"/>
        <w:rPr>
          <w:rFonts w:ascii="Arial" w:eastAsia="SimSun" w:hAnsi="Arial" w:cs="Arial"/>
          <w:color w:val="000000"/>
          <w:sz w:val="24"/>
          <w:szCs w:val="24"/>
          <w:lang w:val="es-CO"/>
        </w:rPr>
      </w:pPr>
    </w:p>
    <w:p w14:paraId="425D426E" w14:textId="77777777" w:rsidR="00E70182" w:rsidRPr="00FB29CC" w:rsidRDefault="00E70182" w:rsidP="00E70182">
      <w:pPr>
        <w:autoSpaceDE w:val="0"/>
        <w:autoSpaceDN w:val="0"/>
        <w:spacing w:after="0" w:line="272" w:lineRule="exact"/>
        <w:jc w:val="both"/>
        <w:rPr>
          <w:rFonts w:ascii="Arial" w:eastAsia="SimSun" w:hAnsi="Arial" w:cs="Arial"/>
          <w:color w:val="000000"/>
          <w:sz w:val="24"/>
          <w:szCs w:val="24"/>
          <w:lang w:val="es-CO"/>
        </w:rPr>
      </w:pPr>
    </w:p>
    <w:p w14:paraId="0ECA4EE7" w14:textId="77777777" w:rsidR="00E70182" w:rsidRPr="00FB29CC" w:rsidRDefault="00E70182" w:rsidP="00E70182">
      <w:pPr>
        <w:autoSpaceDE w:val="0"/>
        <w:autoSpaceDN w:val="0"/>
        <w:spacing w:after="0" w:line="272" w:lineRule="exact"/>
        <w:jc w:val="both"/>
        <w:rPr>
          <w:rFonts w:ascii="Arial" w:eastAsia="SimSun" w:hAnsi="Arial" w:cs="Arial"/>
          <w:color w:val="000000"/>
          <w:sz w:val="24"/>
          <w:szCs w:val="24"/>
          <w:lang w:val="es-CO"/>
        </w:rPr>
      </w:pPr>
    </w:p>
    <w:p w14:paraId="0241BEB3" w14:textId="77777777" w:rsidR="00E70182" w:rsidRPr="00FB29CC" w:rsidRDefault="00E70182" w:rsidP="00E70182">
      <w:pPr>
        <w:autoSpaceDE w:val="0"/>
        <w:autoSpaceDN w:val="0"/>
        <w:spacing w:after="0" w:line="272" w:lineRule="exact"/>
        <w:jc w:val="both"/>
        <w:rPr>
          <w:rFonts w:ascii="Arial" w:eastAsia="SimSun" w:hAnsi="Arial" w:cs="Arial"/>
          <w:color w:val="000000"/>
          <w:sz w:val="24"/>
          <w:szCs w:val="24"/>
          <w:lang w:val="es-CO"/>
        </w:rPr>
      </w:pPr>
    </w:p>
    <w:p w14:paraId="2F3D9725" w14:textId="77777777" w:rsidR="00E70182" w:rsidRPr="00F62287" w:rsidRDefault="00E70182" w:rsidP="00E70182">
      <w:pPr>
        <w:autoSpaceDE w:val="0"/>
        <w:autoSpaceDN w:val="0"/>
        <w:spacing w:after="0" w:line="397" w:lineRule="exact"/>
        <w:jc w:val="both"/>
        <w:rPr>
          <w:rFonts w:ascii="Arial" w:hAnsi="Arial" w:cs="Arial"/>
          <w:b/>
          <w:sz w:val="24"/>
          <w:szCs w:val="24"/>
          <w:lang w:val="es-CO"/>
        </w:rPr>
      </w:pPr>
      <w:r w:rsidRPr="00F62287">
        <w:rPr>
          <w:rFonts w:ascii="Arial" w:eastAsia="Calibri" w:hAnsi="Arial" w:cs="Arial"/>
          <w:b/>
          <w:color w:val="000000"/>
          <w:sz w:val="24"/>
          <w:szCs w:val="24"/>
          <w:lang w:val="es-CO"/>
        </w:rPr>
        <w:t>BIBLIOGRAFIA UTILIZADA</w:t>
      </w:r>
    </w:p>
    <w:p w14:paraId="68DC302C" w14:textId="77777777" w:rsidR="00E70182" w:rsidRPr="00FB29CC" w:rsidRDefault="00E70182" w:rsidP="00E70182">
      <w:pPr>
        <w:autoSpaceDE w:val="0"/>
        <w:autoSpaceDN w:val="0"/>
        <w:spacing w:after="0" w:line="272" w:lineRule="exact"/>
        <w:jc w:val="both"/>
        <w:rPr>
          <w:rFonts w:ascii="Arial" w:eastAsia="SimSun" w:hAnsi="Arial" w:cs="Arial"/>
          <w:color w:val="000000"/>
          <w:sz w:val="24"/>
          <w:szCs w:val="24"/>
          <w:lang w:val="es-CO"/>
        </w:rPr>
      </w:pPr>
    </w:p>
    <w:p w14:paraId="6230EEA2" w14:textId="77777777" w:rsidR="00E70182" w:rsidRPr="00FB29CC" w:rsidRDefault="00E70182" w:rsidP="00E70182">
      <w:pPr>
        <w:autoSpaceDE w:val="0"/>
        <w:autoSpaceDN w:val="0"/>
        <w:spacing w:after="0" w:line="272" w:lineRule="exact"/>
        <w:jc w:val="both"/>
        <w:rPr>
          <w:rFonts w:ascii="Arial" w:eastAsia="SimSun" w:hAnsi="Arial" w:cs="Arial"/>
          <w:color w:val="000000"/>
          <w:sz w:val="24"/>
          <w:szCs w:val="24"/>
          <w:lang w:val="es-CO"/>
        </w:rPr>
      </w:pPr>
    </w:p>
    <w:p w14:paraId="0A3FB737" w14:textId="77777777" w:rsidR="00E70182" w:rsidRPr="00FB29CC" w:rsidRDefault="00E70182" w:rsidP="00E70182">
      <w:pPr>
        <w:autoSpaceDE w:val="0"/>
        <w:autoSpaceDN w:val="0"/>
        <w:spacing w:after="0" w:line="338" w:lineRule="exact"/>
        <w:ind w:left="40" w:right="40"/>
        <w:jc w:val="both"/>
        <w:rPr>
          <w:rFonts w:ascii="Arial" w:hAnsi="Arial" w:cs="Arial"/>
          <w:sz w:val="24"/>
          <w:szCs w:val="24"/>
          <w:lang w:val="es-CO"/>
        </w:rPr>
      </w:pPr>
      <w:r w:rsidRPr="00FB29CC">
        <w:rPr>
          <w:rFonts w:ascii="Arial" w:eastAsia="Calibri" w:hAnsi="Arial" w:cs="Arial"/>
          <w:color w:val="000000"/>
          <w:sz w:val="24"/>
          <w:szCs w:val="24"/>
          <w:lang w:val="es-CO"/>
        </w:rPr>
        <w:t xml:space="preserve">Carmen </w:t>
      </w:r>
      <w:r w:rsidR="00F62287" w:rsidRPr="00FB29CC">
        <w:rPr>
          <w:rFonts w:ascii="Arial" w:eastAsia="Calibri" w:hAnsi="Arial" w:cs="Arial"/>
          <w:color w:val="000000"/>
          <w:sz w:val="24"/>
          <w:szCs w:val="24"/>
          <w:lang w:val="es-CO"/>
        </w:rPr>
        <w:t>Vásquez. La</w:t>
      </w:r>
      <w:r w:rsidRPr="00FB29CC">
        <w:rPr>
          <w:rFonts w:ascii="Arial" w:eastAsia="Calibri" w:hAnsi="Arial" w:cs="Arial"/>
          <w:color w:val="000000"/>
          <w:sz w:val="24"/>
          <w:szCs w:val="24"/>
          <w:lang w:val="es-CO"/>
        </w:rPr>
        <w:t xml:space="preserve"> prueba pericial en la experiencia estadounidense. De la prueba científica a la prueba pericial. Marcial Pons. España. 2015. También ver en: El caso Daubert.LP Pasión por el derecho. Disponible en internet.</w:t>
      </w:r>
    </w:p>
    <w:p w14:paraId="49645DD8" w14:textId="77777777" w:rsidR="00E70182" w:rsidRPr="00FB29CC" w:rsidRDefault="00E70182" w:rsidP="00E70182">
      <w:pPr>
        <w:autoSpaceDE w:val="0"/>
        <w:autoSpaceDN w:val="0"/>
        <w:spacing w:after="0" w:line="272" w:lineRule="exact"/>
        <w:jc w:val="both"/>
        <w:rPr>
          <w:rFonts w:ascii="Arial" w:eastAsia="SimSun" w:hAnsi="Arial" w:cs="Arial"/>
          <w:color w:val="000000"/>
          <w:sz w:val="24"/>
          <w:szCs w:val="24"/>
          <w:lang w:val="es-CO"/>
        </w:rPr>
      </w:pPr>
    </w:p>
    <w:p w14:paraId="2A710F65" w14:textId="77777777" w:rsidR="00E70182" w:rsidRPr="00FB29CC" w:rsidRDefault="00E70182" w:rsidP="00E70182">
      <w:pPr>
        <w:autoSpaceDE w:val="0"/>
        <w:autoSpaceDN w:val="0"/>
        <w:spacing w:after="0" w:line="272" w:lineRule="exact"/>
        <w:jc w:val="both"/>
        <w:rPr>
          <w:rFonts w:ascii="Arial" w:eastAsia="SimSun" w:hAnsi="Arial" w:cs="Arial"/>
          <w:color w:val="000000"/>
          <w:sz w:val="24"/>
          <w:szCs w:val="24"/>
          <w:lang w:val="es-CO"/>
        </w:rPr>
      </w:pPr>
    </w:p>
    <w:p w14:paraId="4E686D0F" w14:textId="77777777" w:rsidR="00E70182" w:rsidRPr="00FB29CC" w:rsidRDefault="00E70182" w:rsidP="00E70182">
      <w:pPr>
        <w:autoSpaceDE w:val="0"/>
        <w:autoSpaceDN w:val="0"/>
        <w:spacing w:after="0" w:line="347" w:lineRule="exact"/>
        <w:ind w:left="40" w:right="40"/>
        <w:jc w:val="both"/>
        <w:rPr>
          <w:rFonts w:ascii="Arial" w:hAnsi="Arial" w:cs="Arial"/>
          <w:sz w:val="24"/>
          <w:szCs w:val="24"/>
          <w:lang w:val="es-CO"/>
        </w:rPr>
      </w:pPr>
      <w:r w:rsidRPr="00FB29CC">
        <w:rPr>
          <w:rFonts w:ascii="Arial" w:eastAsia="Calibri" w:hAnsi="Arial" w:cs="Arial"/>
          <w:color w:val="000000"/>
          <w:sz w:val="24"/>
          <w:szCs w:val="24"/>
          <w:lang w:val="es-CO"/>
        </w:rPr>
        <w:t>Michel Taruffo. Ciencia y Proceso. Curso de especialización en derecho. USAl.</w:t>
      </w:r>
      <w:r w:rsidR="00F62287">
        <w:rPr>
          <w:rFonts w:ascii="Arial" w:eastAsia="Calibri" w:hAnsi="Arial" w:cs="Arial"/>
          <w:color w:val="000000"/>
          <w:sz w:val="24"/>
          <w:szCs w:val="24"/>
          <w:lang w:val="es-CO"/>
        </w:rPr>
        <w:t xml:space="preserve"> </w:t>
      </w:r>
      <w:r w:rsidRPr="00FB29CC">
        <w:rPr>
          <w:rFonts w:ascii="Arial" w:eastAsia="Calibri" w:hAnsi="Arial" w:cs="Arial"/>
          <w:color w:val="000000"/>
          <w:sz w:val="24"/>
          <w:szCs w:val="24"/>
          <w:lang w:val="es-CO"/>
        </w:rPr>
        <w:t xml:space="preserve">Conferencia en </w:t>
      </w:r>
      <w:r w:rsidR="00F62287" w:rsidRPr="00FB29CC">
        <w:rPr>
          <w:rFonts w:ascii="Arial" w:eastAsia="Calibri" w:hAnsi="Arial" w:cs="Arial"/>
          <w:color w:val="000000"/>
          <w:sz w:val="24"/>
          <w:szCs w:val="24"/>
          <w:lang w:val="es-CO"/>
        </w:rPr>
        <w:t>YouTube</w:t>
      </w:r>
      <w:r w:rsidRPr="00FB29CC">
        <w:rPr>
          <w:rFonts w:ascii="Arial" w:eastAsia="Calibri" w:hAnsi="Arial" w:cs="Arial"/>
          <w:color w:val="000000"/>
          <w:sz w:val="24"/>
          <w:szCs w:val="24"/>
          <w:lang w:val="es-CO"/>
        </w:rPr>
        <w:t>.</w:t>
      </w:r>
    </w:p>
    <w:p w14:paraId="172CAA59" w14:textId="77777777" w:rsidR="00E70182" w:rsidRPr="00FB29CC" w:rsidRDefault="00E70182" w:rsidP="00E70182">
      <w:pPr>
        <w:autoSpaceDE w:val="0"/>
        <w:autoSpaceDN w:val="0"/>
        <w:spacing w:after="0" w:line="272" w:lineRule="exact"/>
        <w:jc w:val="both"/>
        <w:rPr>
          <w:rFonts w:ascii="Arial" w:eastAsia="SimSun" w:hAnsi="Arial" w:cs="Arial"/>
          <w:color w:val="000000"/>
          <w:sz w:val="24"/>
          <w:szCs w:val="24"/>
          <w:lang w:val="es-CO"/>
        </w:rPr>
      </w:pPr>
    </w:p>
    <w:p w14:paraId="278FE044" w14:textId="77777777" w:rsidR="00E70182" w:rsidRPr="00FB29CC" w:rsidRDefault="00E70182" w:rsidP="00E70182">
      <w:pPr>
        <w:autoSpaceDE w:val="0"/>
        <w:autoSpaceDN w:val="0"/>
        <w:spacing w:after="0" w:line="272" w:lineRule="exact"/>
        <w:jc w:val="both"/>
        <w:rPr>
          <w:rFonts w:ascii="Arial" w:eastAsia="SimSun" w:hAnsi="Arial" w:cs="Arial"/>
          <w:color w:val="000000"/>
          <w:sz w:val="24"/>
          <w:szCs w:val="24"/>
          <w:lang w:val="es-CO"/>
        </w:rPr>
      </w:pPr>
    </w:p>
    <w:p w14:paraId="559B5290" w14:textId="77777777" w:rsidR="00E70182" w:rsidRPr="00FB29CC" w:rsidRDefault="00E70182" w:rsidP="00E70182">
      <w:pPr>
        <w:autoSpaceDE w:val="0"/>
        <w:autoSpaceDN w:val="0"/>
        <w:spacing w:after="0" w:line="367" w:lineRule="exact"/>
        <w:ind w:left="40" w:right="40"/>
        <w:jc w:val="both"/>
        <w:rPr>
          <w:rFonts w:ascii="Arial" w:hAnsi="Arial" w:cs="Arial"/>
          <w:sz w:val="24"/>
          <w:szCs w:val="24"/>
          <w:lang w:val="es-CO"/>
        </w:rPr>
      </w:pPr>
      <w:r w:rsidRPr="00FB29CC">
        <w:rPr>
          <w:rFonts w:ascii="Arial" w:eastAsia="Calibri" w:hAnsi="Arial" w:cs="Arial"/>
          <w:color w:val="000000"/>
          <w:sz w:val="24"/>
          <w:szCs w:val="24"/>
          <w:lang w:val="es-CO"/>
        </w:rPr>
        <w:t>Introducción al pensamiento científico. Curso de UBA XXI. Especialmente: Roberto Azar.</w:t>
      </w:r>
      <w:r w:rsidR="00F62287">
        <w:rPr>
          <w:rFonts w:ascii="Arial" w:eastAsia="Calibri" w:hAnsi="Arial" w:cs="Arial"/>
          <w:color w:val="000000"/>
          <w:sz w:val="24"/>
          <w:szCs w:val="24"/>
          <w:lang w:val="es-CO"/>
        </w:rPr>
        <w:t xml:space="preserve"> </w:t>
      </w:r>
      <w:r w:rsidRPr="00FB29CC">
        <w:rPr>
          <w:rFonts w:ascii="Arial" w:eastAsia="Calibri" w:hAnsi="Arial" w:cs="Arial"/>
          <w:color w:val="000000"/>
          <w:sz w:val="24"/>
          <w:szCs w:val="24"/>
          <w:lang w:val="es-CO"/>
        </w:rPr>
        <w:t>Ver en:</w:t>
      </w:r>
      <w:r w:rsidR="00F62287">
        <w:rPr>
          <w:rFonts w:ascii="Arial" w:eastAsia="Calibri" w:hAnsi="Arial" w:cs="Arial"/>
          <w:color w:val="000000"/>
          <w:sz w:val="24"/>
          <w:szCs w:val="24"/>
          <w:lang w:val="es-CO"/>
        </w:rPr>
        <w:t xml:space="preserve"> </w:t>
      </w:r>
      <w:r w:rsidR="00F62287" w:rsidRPr="00FB29CC">
        <w:rPr>
          <w:rFonts w:ascii="Arial" w:eastAsia="Calibri" w:hAnsi="Arial" w:cs="Arial"/>
          <w:color w:val="000000"/>
          <w:sz w:val="24"/>
          <w:szCs w:val="24"/>
          <w:lang w:val="es-CO"/>
        </w:rPr>
        <w:t>YouTube</w:t>
      </w:r>
      <w:r w:rsidRPr="00FB29CC">
        <w:rPr>
          <w:rFonts w:ascii="Arial" w:eastAsia="Calibri" w:hAnsi="Arial" w:cs="Arial"/>
          <w:color w:val="000000"/>
          <w:sz w:val="24"/>
          <w:szCs w:val="24"/>
          <w:lang w:val="es-CO"/>
        </w:rPr>
        <w:t>.</w:t>
      </w:r>
    </w:p>
    <w:p w14:paraId="42BB518D" w14:textId="77777777" w:rsidR="00E70182" w:rsidRPr="00FB29CC" w:rsidRDefault="00E70182" w:rsidP="00E70182">
      <w:pPr>
        <w:autoSpaceDE w:val="0"/>
        <w:autoSpaceDN w:val="0"/>
        <w:spacing w:after="0" w:line="272" w:lineRule="exact"/>
        <w:jc w:val="both"/>
        <w:rPr>
          <w:rFonts w:ascii="Arial" w:eastAsia="SimSun" w:hAnsi="Arial" w:cs="Arial"/>
          <w:color w:val="000000"/>
          <w:sz w:val="24"/>
          <w:szCs w:val="24"/>
          <w:lang w:val="es-CO"/>
        </w:rPr>
      </w:pPr>
    </w:p>
    <w:p w14:paraId="27347600" w14:textId="77777777" w:rsidR="00E70182" w:rsidRPr="00FB29CC" w:rsidRDefault="00E70182" w:rsidP="00E70182">
      <w:pPr>
        <w:autoSpaceDE w:val="0"/>
        <w:autoSpaceDN w:val="0"/>
        <w:spacing w:after="0" w:line="272" w:lineRule="exact"/>
        <w:jc w:val="both"/>
        <w:rPr>
          <w:rFonts w:ascii="Arial" w:eastAsia="SimSun" w:hAnsi="Arial" w:cs="Arial"/>
          <w:color w:val="000000"/>
          <w:sz w:val="24"/>
          <w:szCs w:val="24"/>
          <w:lang w:val="es-CO"/>
        </w:rPr>
      </w:pPr>
    </w:p>
    <w:p w14:paraId="229FA76F" w14:textId="77777777" w:rsidR="00E70182" w:rsidRPr="00FB29CC" w:rsidRDefault="00E70182" w:rsidP="00E70182">
      <w:pPr>
        <w:autoSpaceDE w:val="0"/>
        <w:autoSpaceDN w:val="0"/>
        <w:spacing w:after="0" w:line="415" w:lineRule="exact"/>
        <w:jc w:val="both"/>
        <w:rPr>
          <w:rFonts w:ascii="Arial" w:hAnsi="Arial" w:cs="Arial"/>
          <w:sz w:val="24"/>
          <w:szCs w:val="24"/>
          <w:lang w:val="es-CO"/>
        </w:rPr>
      </w:pPr>
      <w:r w:rsidRPr="00FB29CC">
        <w:rPr>
          <w:rFonts w:ascii="Arial" w:eastAsia="Calibri" w:hAnsi="Arial" w:cs="Arial"/>
          <w:color w:val="000000"/>
          <w:sz w:val="24"/>
          <w:szCs w:val="24"/>
          <w:lang w:val="es-CO"/>
        </w:rPr>
        <w:t>Falsacionismo e Karl Popper.</w:t>
      </w:r>
      <w:r w:rsidR="00F62287">
        <w:rPr>
          <w:rFonts w:ascii="Arial" w:eastAsia="Calibri" w:hAnsi="Arial" w:cs="Arial"/>
          <w:color w:val="000000"/>
          <w:sz w:val="24"/>
          <w:szCs w:val="24"/>
          <w:lang w:val="es-CO"/>
        </w:rPr>
        <w:t xml:space="preserve"> </w:t>
      </w:r>
      <w:r w:rsidRPr="00FB29CC">
        <w:rPr>
          <w:rFonts w:ascii="Arial" w:eastAsia="Calibri" w:hAnsi="Arial" w:cs="Arial"/>
          <w:color w:val="000000"/>
          <w:sz w:val="24"/>
          <w:szCs w:val="24"/>
          <w:lang w:val="es-CO"/>
        </w:rPr>
        <w:t>Un profesor.Com.</w:t>
      </w:r>
      <w:r w:rsidR="00F62287">
        <w:rPr>
          <w:rFonts w:ascii="Arial" w:eastAsia="Calibri" w:hAnsi="Arial" w:cs="Arial"/>
          <w:color w:val="000000"/>
          <w:sz w:val="24"/>
          <w:szCs w:val="24"/>
          <w:lang w:val="es-CO"/>
        </w:rPr>
        <w:t xml:space="preserve"> </w:t>
      </w:r>
      <w:r w:rsidRPr="00FB29CC">
        <w:rPr>
          <w:rFonts w:ascii="Arial" w:eastAsia="Calibri" w:hAnsi="Arial" w:cs="Arial"/>
          <w:color w:val="000000"/>
          <w:sz w:val="24"/>
          <w:szCs w:val="24"/>
          <w:lang w:val="es-CO"/>
        </w:rPr>
        <w:t xml:space="preserve">Ver en </w:t>
      </w:r>
      <w:r w:rsidR="00F62287" w:rsidRPr="00FB29CC">
        <w:rPr>
          <w:rFonts w:ascii="Arial" w:eastAsia="Calibri" w:hAnsi="Arial" w:cs="Arial"/>
          <w:color w:val="000000"/>
          <w:sz w:val="24"/>
          <w:szCs w:val="24"/>
          <w:lang w:val="es-CO"/>
        </w:rPr>
        <w:t>YouTube</w:t>
      </w:r>
      <w:r w:rsidRPr="00FB29CC">
        <w:rPr>
          <w:rFonts w:ascii="Arial" w:eastAsia="Calibri" w:hAnsi="Arial" w:cs="Arial"/>
          <w:color w:val="000000"/>
          <w:sz w:val="24"/>
          <w:szCs w:val="24"/>
          <w:lang w:val="es-CO"/>
        </w:rPr>
        <w:t>.</w:t>
      </w:r>
    </w:p>
    <w:p w14:paraId="61E70119" w14:textId="77777777" w:rsidR="00E70182" w:rsidRPr="00FB29CC" w:rsidRDefault="00E70182" w:rsidP="00E70182">
      <w:pPr>
        <w:autoSpaceDE w:val="0"/>
        <w:autoSpaceDN w:val="0"/>
        <w:spacing w:after="0" w:line="272" w:lineRule="exact"/>
        <w:jc w:val="both"/>
        <w:rPr>
          <w:rFonts w:ascii="Arial" w:eastAsia="SimSun" w:hAnsi="Arial" w:cs="Arial"/>
          <w:color w:val="000000"/>
          <w:sz w:val="24"/>
          <w:szCs w:val="24"/>
          <w:lang w:val="es-CO"/>
        </w:rPr>
      </w:pPr>
    </w:p>
    <w:p w14:paraId="762209A0" w14:textId="77777777" w:rsidR="00E70182" w:rsidRPr="00FB29CC" w:rsidRDefault="00E70182" w:rsidP="00E70182">
      <w:pPr>
        <w:autoSpaceDE w:val="0"/>
        <w:autoSpaceDN w:val="0"/>
        <w:spacing w:after="0" w:line="272" w:lineRule="exact"/>
        <w:jc w:val="both"/>
        <w:rPr>
          <w:rFonts w:ascii="Arial" w:eastAsia="SimSun" w:hAnsi="Arial" w:cs="Arial"/>
          <w:color w:val="000000"/>
          <w:sz w:val="24"/>
          <w:szCs w:val="24"/>
          <w:lang w:val="es-CO"/>
        </w:rPr>
      </w:pPr>
    </w:p>
    <w:p w14:paraId="12D82E66" w14:textId="77777777" w:rsidR="00E70182" w:rsidRPr="00F62287" w:rsidRDefault="00E70182" w:rsidP="00E70182">
      <w:pPr>
        <w:autoSpaceDE w:val="0"/>
        <w:autoSpaceDN w:val="0"/>
        <w:spacing w:after="0" w:line="475" w:lineRule="exact"/>
        <w:jc w:val="both"/>
        <w:rPr>
          <w:rFonts w:ascii="Arial" w:hAnsi="Arial" w:cs="Arial"/>
          <w:sz w:val="24"/>
          <w:szCs w:val="24"/>
          <w:lang w:val="es-CO"/>
        </w:rPr>
      </w:pPr>
      <w:r w:rsidRPr="00FB29CC">
        <w:rPr>
          <w:rFonts w:ascii="Arial" w:eastAsia="Calibri" w:hAnsi="Arial" w:cs="Arial"/>
          <w:color w:val="000000"/>
          <w:sz w:val="24"/>
          <w:szCs w:val="24"/>
          <w:lang w:val="es-CO"/>
        </w:rPr>
        <w:t xml:space="preserve">El falsacionismo. Karl Popper. Travesía. </w:t>
      </w:r>
      <w:r w:rsidRPr="00F62287">
        <w:rPr>
          <w:rFonts w:ascii="Arial" w:eastAsia="Calibri" w:hAnsi="Arial" w:cs="Arial"/>
          <w:color w:val="000000"/>
          <w:sz w:val="24"/>
          <w:szCs w:val="24"/>
          <w:lang w:val="es-CO"/>
        </w:rPr>
        <w:t>Canal</w:t>
      </w:r>
      <w:r w:rsidRPr="00F62287">
        <w:rPr>
          <w:rFonts w:ascii="Arial" w:eastAsia="Calibri" w:hAnsi="Arial" w:cs="Arial"/>
          <w:b/>
          <w:color w:val="000000"/>
          <w:sz w:val="24"/>
          <w:szCs w:val="24"/>
          <w:lang w:val="es-CO"/>
        </w:rPr>
        <w:t xml:space="preserve"> filosófico </w:t>
      </w:r>
      <w:r w:rsidRPr="00F62287">
        <w:rPr>
          <w:rFonts w:ascii="Arial" w:eastAsia="Calibri" w:hAnsi="Arial" w:cs="Arial"/>
          <w:color w:val="000000"/>
          <w:sz w:val="24"/>
          <w:szCs w:val="24"/>
          <w:lang w:val="es-CO"/>
        </w:rPr>
        <w:t xml:space="preserve">en </w:t>
      </w:r>
      <w:r w:rsidR="00F62287" w:rsidRPr="00F62287">
        <w:rPr>
          <w:rFonts w:ascii="Arial" w:eastAsia="Calibri" w:hAnsi="Arial" w:cs="Arial"/>
          <w:color w:val="000000"/>
          <w:sz w:val="24"/>
          <w:szCs w:val="24"/>
          <w:lang w:val="es-CO"/>
        </w:rPr>
        <w:t>YouTube.</w:t>
      </w:r>
    </w:p>
    <w:p w14:paraId="0A78A87E" w14:textId="77777777" w:rsidR="00E70182" w:rsidRPr="00E70182" w:rsidRDefault="00E70182" w:rsidP="00E70182">
      <w:pPr>
        <w:autoSpaceDE w:val="0"/>
        <w:autoSpaceDN w:val="0"/>
        <w:spacing w:after="0" w:line="276" w:lineRule="auto"/>
        <w:ind w:left="60" w:right="300"/>
        <w:jc w:val="both"/>
        <w:rPr>
          <w:rFonts w:ascii="Arial" w:eastAsia="Calibri" w:hAnsi="Arial" w:cs="Arial"/>
          <w:color w:val="000000"/>
          <w:sz w:val="24"/>
          <w:szCs w:val="24"/>
          <w:lang w:val="es-CO"/>
        </w:rPr>
      </w:pPr>
    </w:p>
    <w:p w14:paraId="51E4AE68" w14:textId="77777777" w:rsidR="00E70182" w:rsidRPr="00E70182" w:rsidRDefault="00E70182" w:rsidP="00E70182">
      <w:pPr>
        <w:autoSpaceDE w:val="0"/>
        <w:autoSpaceDN w:val="0"/>
        <w:spacing w:after="0" w:line="276" w:lineRule="auto"/>
        <w:ind w:left="60" w:right="260"/>
        <w:jc w:val="both"/>
        <w:rPr>
          <w:rFonts w:ascii="Arial" w:eastAsia="Calibri" w:hAnsi="Arial" w:cs="Arial"/>
          <w:color w:val="000000"/>
          <w:sz w:val="24"/>
          <w:szCs w:val="24"/>
          <w:lang w:val="es-CO"/>
        </w:rPr>
      </w:pPr>
    </w:p>
    <w:p w14:paraId="4D03B44E" w14:textId="77777777" w:rsidR="00294D80" w:rsidRPr="00294D80" w:rsidRDefault="00294D80" w:rsidP="00294D80">
      <w:pPr>
        <w:spacing w:line="276" w:lineRule="auto"/>
        <w:jc w:val="both"/>
        <w:rPr>
          <w:rFonts w:ascii="Arial" w:eastAsia="Calibri" w:hAnsi="Arial" w:cs="Arial"/>
          <w:color w:val="000000"/>
          <w:sz w:val="24"/>
          <w:szCs w:val="24"/>
          <w:lang w:val="es-CO"/>
        </w:rPr>
      </w:pPr>
    </w:p>
    <w:sectPr w:rsidR="00294D80" w:rsidRPr="00294D8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3517"/>
    <w:multiLevelType w:val="hybridMultilevel"/>
    <w:tmpl w:val="AE72FA06"/>
    <w:lvl w:ilvl="0" w:tplc="E0C6B6FE">
      <w:start w:val="1"/>
      <w:numFmt w:val="decimal"/>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num w:numId="1" w16cid:durableId="1789351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0D3"/>
    <w:rsid w:val="00294D80"/>
    <w:rsid w:val="00307604"/>
    <w:rsid w:val="00327667"/>
    <w:rsid w:val="004810D3"/>
    <w:rsid w:val="00826C34"/>
    <w:rsid w:val="00911FE5"/>
    <w:rsid w:val="009C60FD"/>
    <w:rsid w:val="00A344A6"/>
    <w:rsid w:val="00C872B4"/>
    <w:rsid w:val="00DC057B"/>
    <w:rsid w:val="00E70182"/>
    <w:rsid w:val="00F62287"/>
    <w:rsid w:val="00FB2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20C49"/>
  <w15:chartTrackingRefBased/>
  <w15:docId w15:val="{142738AA-6463-4FF5-9F48-8BCE8C97A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622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2368A0DB1641D428485A3D8B3293150" ma:contentTypeVersion="23" ma:contentTypeDescription="Crear nuevo documento." ma:contentTypeScope="" ma:versionID="c6381e63a1cd5534627b170ee0447f31">
  <xsd:schema xmlns:xsd="http://www.w3.org/2001/XMLSchema" xmlns:xs="http://www.w3.org/2001/XMLSchema" xmlns:p="http://schemas.microsoft.com/office/2006/metadata/properties" xmlns:ns2="1b3372a7-7dc8-4b00-afef-77a513e85060" xmlns:ns3="32bbef5c-91bf-4284-8fae-217681526adc" targetNamespace="http://schemas.microsoft.com/office/2006/metadata/properties" ma:root="true" ma:fieldsID="0a73a471ab41ab445aa43f414235708c" ns2:_="" ns3:_="">
    <xsd:import namespace="1b3372a7-7dc8-4b00-afef-77a513e85060"/>
    <xsd:import namespace="32bbef5c-91bf-4284-8fae-217681526adc"/>
    <xsd:element name="properties">
      <xsd:complexType>
        <xsd:sequence>
          <xsd:element name="documentManagement">
            <xsd:complexType>
              <xsd:all>
                <xsd:element ref="ns2:Vencimiento"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3372a7-7dc8-4b00-afef-77a513e85060" elementFormDefault="qualified">
    <xsd:import namespace="http://schemas.microsoft.com/office/2006/documentManagement/types"/>
    <xsd:import namespace="http://schemas.microsoft.com/office/infopath/2007/PartnerControls"/>
    <xsd:element name="Vencimiento" ma:index="2" nillable="true" ma:displayName="Fecha de Vencimiento" ma:format="DateTime" ma:internalName="Vencimiento" ma:readOnly="false">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bbef5c-91bf-4284-8fae-217681526adc" elementFormDefault="qualified">
    <xsd:import namespace="http://schemas.microsoft.com/office/2006/documentManagement/types"/>
    <xsd:import namespace="http://schemas.microsoft.com/office/infopath/2007/PartnerControls"/>
    <xsd:element name="SharedWithUsers" ma:index="8"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hidden="true" ma:internalName="SharedWithDetails" ma:readOnly="true">
      <xsd:simpleType>
        <xsd:restriction base="dms:Note"/>
      </xsd:simpleType>
    </xsd:element>
    <xsd:element name="TaxCatchAll" ma:index="24" nillable="true" ma:displayName="Taxonomy Catch All Column" ma:hidden="true" ma:list="{140b5aea-3ba5-424c-bb0b-7839c7b08bcb}" ma:internalName="TaxCatchAll" ma:showField="CatchAllData" ma:web="32bbef5c-91bf-4284-8fae-217681526a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3372a7-7dc8-4b00-afef-77a513e85060">
      <Terms xmlns="http://schemas.microsoft.com/office/infopath/2007/PartnerControls"/>
    </lcf76f155ced4ddcb4097134ff3c332f>
    <Vencimiento xmlns="1b3372a7-7dc8-4b00-afef-77a513e85060" xsi:nil="true"/>
    <TaxCatchAll xmlns="32bbef5c-91bf-4284-8fae-217681526adc" xsi:nil="true"/>
  </documentManagement>
</p:properties>
</file>

<file path=customXml/itemProps1.xml><?xml version="1.0" encoding="utf-8"?>
<ds:datastoreItem xmlns:ds="http://schemas.openxmlformats.org/officeDocument/2006/customXml" ds:itemID="{146B5BBF-7960-4CC9-A0F7-C9D17411EB83}"/>
</file>

<file path=customXml/itemProps2.xml><?xml version="1.0" encoding="utf-8"?>
<ds:datastoreItem xmlns:ds="http://schemas.openxmlformats.org/officeDocument/2006/customXml" ds:itemID="{C65A4DE0-A908-4524-8A57-85864E20835B}"/>
</file>

<file path=customXml/itemProps3.xml><?xml version="1.0" encoding="utf-8"?>
<ds:datastoreItem xmlns:ds="http://schemas.openxmlformats.org/officeDocument/2006/customXml" ds:itemID="{5A309C5E-9D83-4F0D-985B-48F3B0C6A804}"/>
</file>

<file path=docProps/app.xml><?xml version="1.0" encoding="utf-8"?>
<Properties xmlns="http://schemas.openxmlformats.org/officeDocument/2006/extended-properties" xmlns:vt="http://schemas.openxmlformats.org/officeDocument/2006/docPropsVTypes">
  <Template>Normal</Template>
  <TotalTime>0</TotalTime>
  <Pages>6</Pages>
  <Words>1875</Words>
  <Characters>10313</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344F</dc:creator>
  <cp:keywords/>
  <dc:description/>
  <cp:lastModifiedBy>Andreita</cp:lastModifiedBy>
  <cp:revision>2</cp:revision>
  <dcterms:created xsi:type="dcterms:W3CDTF">2025-12-26T23:11:00Z</dcterms:created>
  <dcterms:modified xsi:type="dcterms:W3CDTF">2025-12-26T23:11:00Z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0x01010052368A0DB1641D428485A3D8B3293150</vt:lpwstr>
  </property>
</Properties>
</file>